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491" w:rsidRDefault="004B1D8A">
      <w:pPr>
        <w:spacing w:after="0" w:line="259" w:lineRule="auto"/>
        <w:ind w:left="225" w:firstLine="0"/>
        <w:jc w:val="center"/>
      </w:pPr>
      <w:bookmarkStart w:id="0" w:name="_GoBack"/>
      <w:bookmarkEnd w:id="0"/>
      <w:r>
        <w:rPr>
          <w:sz w:val="22"/>
        </w:rPr>
        <w:t xml:space="preserve"> </w:t>
      </w:r>
      <w:r>
        <w:rPr>
          <w:sz w:val="22"/>
        </w:rPr>
        <w:tab/>
        <w:t xml:space="preserve"> </w:t>
      </w:r>
      <w:r>
        <w:rPr>
          <w:sz w:val="22"/>
        </w:rPr>
        <w:tab/>
        <w:t xml:space="preserve"> </w:t>
      </w:r>
    </w:p>
    <w:p w:rsidR="00613491" w:rsidRPr="00172D49" w:rsidRDefault="004B1D8A">
      <w:pPr>
        <w:tabs>
          <w:tab w:val="center" w:pos="4095"/>
          <w:tab w:val="center" w:pos="5328"/>
        </w:tabs>
        <w:spacing w:after="27" w:line="259" w:lineRule="auto"/>
        <w:ind w:left="0" w:firstLine="0"/>
        <w:rPr>
          <w:szCs w:val="24"/>
        </w:rPr>
      </w:pPr>
      <w:r>
        <w:rPr>
          <w:rFonts w:ascii="Calibri" w:eastAsia="Calibri" w:hAnsi="Calibri" w:cs="Calibri"/>
          <w:sz w:val="22"/>
        </w:rPr>
        <w:tab/>
      </w:r>
      <w:r>
        <w:rPr>
          <w:sz w:val="22"/>
        </w:rPr>
        <w:t xml:space="preserve"> </w:t>
      </w:r>
      <w:r>
        <w:rPr>
          <w:sz w:val="22"/>
        </w:rPr>
        <w:tab/>
      </w:r>
      <w:r w:rsidR="00276194" w:rsidRPr="00172D49">
        <w:rPr>
          <w:szCs w:val="24"/>
        </w:rPr>
        <w:t>2015-</w:t>
      </w:r>
      <w:r w:rsidR="005A671A" w:rsidRPr="00172D49">
        <w:rPr>
          <w:szCs w:val="24"/>
        </w:rPr>
        <w:t>03</w:t>
      </w:r>
      <w:r w:rsidR="00276194" w:rsidRPr="00172D49">
        <w:rPr>
          <w:szCs w:val="24"/>
        </w:rPr>
        <w:t>-</w:t>
      </w:r>
      <w:r w:rsidR="005A671A" w:rsidRPr="00172D49">
        <w:rPr>
          <w:szCs w:val="24"/>
        </w:rPr>
        <w:t>09</w:t>
      </w:r>
    </w:p>
    <w:p w:rsidR="00C612CF" w:rsidRPr="00172D49" w:rsidRDefault="00C612CF">
      <w:pPr>
        <w:tabs>
          <w:tab w:val="center" w:pos="4095"/>
          <w:tab w:val="center" w:pos="5328"/>
        </w:tabs>
        <w:spacing w:after="27" w:line="259" w:lineRule="auto"/>
        <w:ind w:left="0" w:firstLine="0"/>
        <w:rPr>
          <w:color w:val="auto"/>
          <w:szCs w:val="24"/>
        </w:rPr>
      </w:pPr>
      <w:r w:rsidRPr="00172D49">
        <w:rPr>
          <w:szCs w:val="24"/>
        </w:rPr>
        <w:tab/>
        <w:t xml:space="preserve">                                     </w:t>
      </w:r>
      <w:r w:rsidR="00E85A52" w:rsidRPr="00172D49">
        <w:rPr>
          <w:szCs w:val="24"/>
        </w:rPr>
        <w:t xml:space="preserve">                  </w:t>
      </w:r>
      <w:r w:rsidR="00E85A52" w:rsidRPr="00172D49">
        <w:rPr>
          <w:color w:val="auto"/>
          <w:szCs w:val="24"/>
        </w:rPr>
        <w:t>Rev KF</w:t>
      </w:r>
      <w:r w:rsidRPr="00172D49">
        <w:rPr>
          <w:color w:val="auto"/>
          <w:szCs w:val="24"/>
        </w:rPr>
        <w:t xml:space="preserve"> 2015-03-</w:t>
      </w:r>
      <w:r w:rsidR="005324CB" w:rsidRPr="00172D49">
        <w:rPr>
          <w:color w:val="auto"/>
          <w:szCs w:val="24"/>
        </w:rPr>
        <w:t>24</w:t>
      </w:r>
    </w:p>
    <w:p w:rsidR="00613491" w:rsidRDefault="004B1D8A" w:rsidP="00276194">
      <w:pPr>
        <w:tabs>
          <w:tab w:val="center" w:pos="4095"/>
          <w:tab w:val="center" w:pos="5391"/>
        </w:tabs>
        <w:spacing w:after="57" w:line="259" w:lineRule="auto"/>
        <w:ind w:left="0" w:firstLine="0"/>
      </w:pPr>
      <w:r>
        <w:rPr>
          <w:rFonts w:ascii="Calibri" w:eastAsia="Calibri" w:hAnsi="Calibri" w:cs="Calibri"/>
          <w:sz w:val="22"/>
        </w:rPr>
        <w:tab/>
      </w:r>
      <w:r>
        <w:rPr>
          <w:sz w:val="22"/>
        </w:rPr>
        <w:t xml:space="preserve"> </w:t>
      </w:r>
      <w:r>
        <w:rPr>
          <w:sz w:val="22"/>
        </w:rPr>
        <w:tab/>
        <w:t xml:space="preserve"> </w:t>
      </w:r>
    </w:p>
    <w:p w:rsidR="00613491" w:rsidRDefault="004B1D8A">
      <w:pPr>
        <w:spacing w:after="0" w:line="259" w:lineRule="auto"/>
        <w:ind w:left="319" w:firstLine="0"/>
      </w:pPr>
      <w:r>
        <w:rPr>
          <w:sz w:val="20"/>
        </w:rPr>
        <w:t xml:space="preserve">  </w:t>
      </w:r>
    </w:p>
    <w:p w:rsidR="00613491" w:rsidRDefault="004B1D8A">
      <w:pPr>
        <w:spacing w:after="0" w:line="259" w:lineRule="auto"/>
        <w:ind w:left="319" w:firstLine="0"/>
      </w:pPr>
      <w:r>
        <w:rPr>
          <w:sz w:val="20"/>
        </w:rPr>
        <w:t xml:space="preserve"> </w:t>
      </w:r>
    </w:p>
    <w:p w:rsidR="00613491" w:rsidRDefault="004B1D8A">
      <w:pPr>
        <w:spacing w:after="0" w:line="259" w:lineRule="auto"/>
        <w:ind w:left="319" w:firstLine="0"/>
      </w:pPr>
      <w:r>
        <w:rPr>
          <w:sz w:val="20"/>
        </w:rPr>
        <w:t xml:space="preserve"> </w:t>
      </w:r>
    </w:p>
    <w:p w:rsidR="00613491" w:rsidRDefault="004B1D8A">
      <w:pPr>
        <w:spacing w:after="0" w:line="259" w:lineRule="auto"/>
        <w:ind w:left="319" w:firstLine="0"/>
      </w:pPr>
      <w:r>
        <w:rPr>
          <w:sz w:val="20"/>
        </w:rPr>
        <w:t xml:space="preserve"> </w:t>
      </w:r>
    </w:p>
    <w:p w:rsidR="00613491" w:rsidRDefault="004B1D8A">
      <w:pPr>
        <w:spacing w:after="125" w:line="259" w:lineRule="auto"/>
        <w:ind w:left="319" w:firstLine="0"/>
      </w:pPr>
      <w:r>
        <w:rPr>
          <w:sz w:val="20"/>
        </w:rPr>
        <w:t xml:space="preserve"> </w:t>
      </w:r>
    </w:p>
    <w:p w:rsidR="00613491" w:rsidRDefault="004B1D8A">
      <w:pPr>
        <w:spacing w:after="0" w:line="234" w:lineRule="auto"/>
        <w:ind w:left="319" w:firstLine="0"/>
      </w:pPr>
      <w:r>
        <w:rPr>
          <w:rFonts w:ascii="Arial" w:eastAsia="Arial" w:hAnsi="Arial" w:cs="Arial"/>
          <w:b/>
          <w:sz w:val="28"/>
        </w:rPr>
        <w:t xml:space="preserve">Gemensamt ägardirektiv för samtliga kommunägda bolag i koncernen Linköpings Stadshus AB </w:t>
      </w:r>
    </w:p>
    <w:p w:rsidR="00613491" w:rsidRDefault="004B1D8A">
      <w:pPr>
        <w:spacing w:after="82" w:line="259" w:lineRule="auto"/>
        <w:ind w:left="305" w:firstLine="0"/>
      </w:pPr>
      <w:r>
        <w:rPr>
          <w:sz w:val="20"/>
        </w:rPr>
        <w:t xml:space="preserve"> </w:t>
      </w:r>
    </w:p>
    <w:p w:rsidR="00613491" w:rsidRDefault="004B1D8A">
      <w:pPr>
        <w:spacing w:after="58"/>
        <w:ind w:right="14"/>
      </w:pPr>
      <w:r>
        <w:t>Ägardirektivet är fastställt av Linköpings kommun i kommunfullmäktige 201</w:t>
      </w:r>
      <w:r w:rsidR="00276194">
        <w:t>5-</w:t>
      </w:r>
      <w:r w:rsidR="005324CB">
        <w:t>03</w:t>
      </w:r>
      <w:r>
        <w:t>-</w:t>
      </w:r>
      <w:r w:rsidR="005324CB">
        <w:t>24</w:t>
      </w:r>
      <w:r>
        <w:t xml:space="preserve">,  </w:t>
      </w:r>
    </w:p>
    <w:p w:rsidR="00613491" w:rsidRDefault="004B1D8A">
      <w:pPr>
        <w:ind w:right="14"/>
      </w:pPr>
      <w:r>
        <w:t xml:space="preserve">§ </w:t>
      </w:r>
      <w:r w:rsidR="005324CB">
        <w:t>141</w:t>
      </w:r>
      <w:r>
        <w:t xml:space="preserve"> och bekräftat vid årsstämmorna 201</w:t>
      </w:r>
      <w:r w:rsidR="00276194">
        <w:t>5</w:t>
      </w:r>
      <w:r>
        <w:t xml:space="preserve">. </w:t>
      </w:r>
    </w:p>
    <w:p w:rsidR="00613491" w:rsidRDefault="004B1D8A">
      <w:pPr>
        <w:spacing w:after="14" w:line="259" w:lineRule="auto"/>
        <w:ind w:left="300" w:firstLine="0"/>
      </w:pPr>
      <w:r>
        <w:rPr>
          <w:sz w:val="22"/>
        </w:rPr>
        <w:t xml:space="preserve"> </w:t>
      </w:r>
    </w:p>
    <w:p w:rsidR="00613491" w:rsidRDefault="004B1D8A">
      <w:pPr>
        <w:ind w:left="249" w:right="14"/>
      </w:pPr>
      <w:r>
        <w:t xml:space="preserve">Utgångspunkter och principer för bolagen inom koncernen Stadshus AB ska vara: </w:t>
      </w:r>
    </w:p>
    <w:p w:rsidR="00613491" w:rsidRDefault="004B1D8A">
      <w:pPr>
        <w:spacing w:after="0" w:line="259" w:lineRule="auto"/>
        <w:ind w:left="710" w:firstLine="0"/>
      </w:pPr>
      <w:r>
        <w:rPr>
          <w:sz w:val="22"/>
        </w:rPr>
        <w:t xml:space="preserve"> </w:t>
      </w:r>
    </w:p>
    <w:p w:rsidR="00613491" w:rsidRDefault="004B1D8A">
      <w:pPr>
        <w:spacing w:after="262"/>
        <w:ind w:left="710" w:right="14" w:hanging="343"/>
      </w:pPr>
      <w:r>
        <w:t xml:space="preserve">- </w:t>
      </w:r>
      <w:r>
        <w:tab/>
        <w:t xml:space="preserve">att kommunala bolag är en alternativ form att tillhandahålla de egna kommuninvånarna service och tjänster och att därför samma principer som för annan kommunal verksamhet ska gälla om ej annat särskilt beslutas eller följer av särskild lagstiftning d v s </w:t>
      </w:r>
    </w:p>
    <w:p w:rsidR="00613491" w:rsidRDefault="004B1D8A" w:rsidP="00E30E87">
      <w:pPr>
        <w:pStyle w:val="Liststycke"/>
        <w:numPr>
          <w:ilvl w:val="0"/>
          <w:numId w:val="6"/>
        </w:numPr>
        <w:spacing w:after="0" w:line="259" w:lineRule="auto"/>
        <w:ind w:hanging="239"/>
        <w:jc w:val="both"/>
      </w:pPr>
      <w:r w:rsidRPr="00E85A52">
        <w:rPr>
          <w:i/>
        </w:rPr>
        <w:t xml:space="preserve">lokaliseringsprincipen </w:t>
      </w:r>
    </w:p>
    <w:p w:rsidR="00613491" w:rsidRDefault="004B1D8A" w:rsidP="00E30E87">
      <w:pPr>
        <w:pStyle w:val="Liststycke"/>
        <w:numPr>
          <w:ilvl w:val="0"/>
          <w:numId w:val="6"/>
        </w:numPr>
        <w:spacing w:after="0" w:line="259" w:lineRule="auto"/>
        <w:ind w:hanging="239"/>
        <w:jc w:val="both"/>
      </w:pPr>
      <w:r w:rsidRPr="00E85A52">
        <w:rPr>
          <w:i/>
        </w:rPr>
        <w:t xml:space="preserve">självkostnadsprincipen </w:t>
      </w:r>
    </w:p>
    <w:p w:rsidR="00613491" w:rsidRDefault="004B1D8A" w:rsidP="00E30E87">
      <w:pPr>
        <w:pStyle w:val="Rubrik1"/>
        <w:numPr>
          <w:ilvl w:val="0"/>
          <w:numId w:val="6"/>
        </w:numPr>
        <w:ind w:hanging="239"/>
        <w:jc w:val="both"/>
      </w:pPr>
      <w:r>
        <w:rPr>
          <w:rFonts w:ascii="Times New Roman" w:eastAsia="Times New Roman" w:hAnsi="Times New Roman" w:cs="Times New Roman"/>
          <w:b w:val="0"/>
          <w:i/>
          <w:sz w:val="24"/>
        </w:rPr>
        <w:t xml:space="preserve">likställdhetsprincipen </w:t>
      </w:r>
    </w:p>
    <w:p w:rsidR="00613491" w:rsidRDefault="004B1D8A" w:rsidP="00E30E87">
      <w:pPr>
        <w:spacing w:after="7" w:line="259" w:lineRule="auto"/>
        <w:ind w:left="334" w:hanging="239"/>
      </w:pPr>
      <w:r>
        <w:rPr>
          <w:sz w:val="22"/>
        </w:rPr>
        <w:t xml:space="preserve"> </w:t>
      </w:r>
    </w:p>
    <w:p w:rsidR="00613491" w:rsidRDefault="004B1D8A">
      <w:pPr>
        <w:numPr>
          <w:ilvl w:val="0"/>
          <w:numId w:val="1"/>
        </w:numPr>
        <w:ind w:right="14" w:hanging="343"/>
      </w:pPr>
      <w:r>
        <w:t xml:space="preserve">att de geografiska avgränsningarna inom vilka bolagen på egna initiativ och genom egna beslut får driva olika typer av verksamhet ska tydliggöras </w:t>
      </w:r>
    </w:p>
    <w:p w:rsidR="00613491" w:rsidRDefault="004B1D8A">
      <w:pPr>
        <w:spacing w:line="259" w:lineRule="auto"/>
        <w:ind w:left="0" w:firstLine="0"/>
      </w:pPr>
      <w:r>
        <w:rPr>
          <w:sz w:val="22"/>
        </w:rPr>
        <w:t xml:space="preserve"> </w:t>
      </w:r>
    </w:p>
    <w:p w:rsidR="00613491" w:rsidRDefault="004B1D8A">
      <w:pPr>
        <w:numPr>
          <w:ilvl w:val="0"/>
          <w:numId w:val="1"/>
        </w:numPr>
        <w:ind w:right="14" w:hanging="343"/>
      </w:pPr>
      <w:r>
        <w:t xml:space="preserve">att affärsmässiga engagemang utanför kommunen med syfte att tillhandahålla service och tjänster i och till andra kommuner ska prövas utifrån ett kommunalt helhetsperspektiv </w:t>
      </w:r>
    </w:p>
    <w:p w:rsidR="00613491" w:rsidRDefault="004B1D8A">
      <w:pPr>
        <w:spacing w:after="0" w:line="259" w:lineRule="auto"/>
        <w:ind w:left="302" w:firstLine="0"/>
      </w:pPr>
      <w:r>
        <w:rPr>
          <w:sz w:val="20"/>
        </w:rPr>
        <w:t xml:space="preserve"> </w:t>
      </w:r>
    </w:p>
    <w:p w:rsidR="00E30E87" w:rsidRDefault="004B1D8A" w:rsidP="00E30E87">
      <w:pPr>
        <w:spacing w:after="80" w:line="259" w:lineRule="auto"/>
        <w:ind w:left="302" w:firstLine="0"/>
        <w:rPr>
          <w:sz w:val="18"/>
        </w:rPr>
      </w:pPr>
      <w:r>
        <w:rPr>
          <w:sz w:val="18"/>
        </w:rPr>
        <w:t xml:space="preserve"> </w:t>
      </w:r>
    </w:p>
    <w:p w:rsidR="00613491" w:rsidRDefault="004B1D8A" w:rsidP="00E30E87">
      <w:pPr>
        <w:spacing w:after="80" w:line="259" w:lineRule="auto"/>
        <w:ind w:left="302" w:firstLine="0"/>
      </w:pPr>
      <w:r>
        <w:rPr>
          <w:rFonts w:ascii="Arial" w:eastAsia="Arial" w:hAnsi="Arial" w:cs="Arial"/>
          <w:b/>
        </w:rPr>
        <w:t xml:space="preserve">1. Principer för styrning av kommunägda bolag som ägs av Linköpings kommun </w:t>
      </w:r>
    </w:p>
    <w:p w:rsidR="00613491" w:rsidRDefault="004B1D8A" w:rsidP="00E30E87">
      <w:pPr>
        <w:spacing w:after="0" w:line="259" w:lineRule="auto"/>
        <w:ind w:left="302" w:firstLine="0"/>
      </w:pPr>
      <w:r>
        <w:rPr>
          <w:sz w:val="20"/>
        </w:rPr>
        <w:t xml:space="preserve"> </w:t>
      </w:r>
    </w:p>
    <w:p w:rsidR="00613491" w:rsidRDefault="004B1D8A">
      <w:pPr>
        <w:ind w:left="367" w:right="14" w:hanging="65"/>
      </w:pPr>
      <w:r>
        <w:t xml:space="preserve"> Kommunens styrning av bolag grundas på skriften "Principer för styrning av kommun- och landstingsägda bolag" utgiven av Sveriges kommuner och landsting våren 2006 med de tillägg och förändringar som finns i detta ägardirektiv och Särskilt ägardirektiv för respektive bolag och som krävs för anpassning till förhållandena i Linköpings kommun. </w:t>
      </w:r>
    </w:p>
    <w:p w:rsidR="005324CB" w:rsidRDefault="004B1D8A" w:rsidP="005324CB">
      <w:pPr>
        <w:spacing w:after="0" w:line="259" w:lineRule="auto"/>
        <w:ind w:left="302" w:firstLine="0"/>
        <w:rPr>
          <w:sz w:val="22"/>
        </w:rPr>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5324CB" w:rsidRDefault="005324CB" w:rsidP="005324CB">
      <w:pPr>
        <w:spacing w:after="0" w:line="259" w:lineRule="auto"/>
        <w:ind w:left="302" w:firstLine="0"/>
        <w:rPr>
          <w:sz w:val="22"/>
        </w:rPr>
      </w:pPr>
    </w:p>
    <w:p w:rsidR="00613491" w:rsidRDefault="004B1D8A" w:rsidP="005324CB">
      <w:pPr>
        <w:spacing w:after="0" w:line="259" w:lineRule="auto"/>
        <w:ind w:left="302" w:firstLine="0"/>
      </w:pPr>
      <w:r>
        <w:rPr>
          <w:sz w:val="22"/>
        </w:rPr>
        <w:t xml:space="preserve"> </w:t>
      </w:r>
      <w:r>
        <w:rPr>
          <w:sz w:val="22"/>
        </w:rPr>
        <w:tab/>
        <w:t xml:space="preserve">                        </w:t>
      </w:r>
      <w:r w:rsidR="00D30E3C">
        <w:rPr>
          <w:sz w:val="20"/>
        </w:rPr>
        <w:tab/>
      </w:r>
    </w:p>
    <w:p w:rsidR="00613491" w:rsidRDefault="004B1D8A">
      <w:pPr>
        <w:spacing w:after="130" w:line="259" w:lineRule="auto"/>
        <w:ind w:left="242" w:firstLine="0"/>
      </w:pPr>
      <w:r>
        <w:rPr>
          <w:sz w:val="20"/>
        </w:rPr>
        <w:t xml:space="preserve"> </w:t>
      </w:r>
    </w:p>
    <w:p w:rsidR="00E85A52" w:rsidRDefault="00E85A52">
      <w:pPr>
        <w:pStyle w:val="Rubrik2"/>
        <w:spacing w:after="3" w:line="265" w:lineRule="auto"/>
        <w:ind w:left="252"/>
        <w:rPr>
          <w:rFonts w:ascii="Arial" w:eastAsia="Arial" w:hAnsi="Arial" w:cs="Arial"/>
          <w:b/>
          <w:i w:val="0"/>
        </w:rPr>
      </w:pPr>
    </w:p>
    <w:p w:rsidR="00E85A52" w:rsidRDefault="00E85A52">
      <w:pPr>
        <w:pStyle w:val="Rubrik2"/>
        <w:spacing w:after="3" w:line="265" w:lineRule="auto"/>
        <w:ind w:left="252"/>
        <w:rPr>
          <w:rFonts w:ascii="Arial" w:eastAsia="Arial" w:hAnsi="Arial" w:cs="Arial"/>
          <w:b/>
          <w:i w:val="0"/>
        </w:rPr>
      </w:pPr>
    </w:p>
    <w:p w:rsidR="00613491" w:rsidRDefault="004B1D8A">
      <w:pPr>
        <w:pStyle w:val="Rubrik2"/>
        <w:spacing w:after="3" w:line="265" w:lineRule="auto"/>
        <w:ind w:left="252"/>
      </w:pPr>
      <w:r>
        <w:rPr>
          <w:rFonts w:ascii="Arial" w:eastAsia="Arial" w:hAnsi="Arial" w:cs="Arial"/>
          <w:b/>
          <w:i w:val="0"/>
        </w:rPr>
        <w:t xml:space="preserve">2. Allmänt </w:t>
      </w:r>
    </w:p>
    <w:p w:rsidR="00613491" w:rsidRDefault="004B1D8A" w:rsidP="00E30E87">
      <w:pPr>
        <w:spacing w:after="0" w:line="259" w:lineRule="auto"/>
        <w:ind w:left="238" w:firstLine="0"/>
      </w:pPr>
      <w:r>
        <w:rPr>
          <w:sz w:val="20"/>
        </w:rPr>
        <w:t xml:space="preserve"> </w:t>
      </w:r>
    </w:p>
    <w:p w:rsidR="00613491" w:rsidRDefault="004B1D8A" w:rsidP="005324CB">
      <w:pPr>
        <w:ind w:left="249" w:right="14"/>
      </w:pPr>
      <w:r>
        <w:t xml:space="preserve">Bolagen är organ för kommunal verksamhet. Bolagen står i sin verksamhet under kommunstyrelsens uppsikt och har att följa av kommunfullmäktige eller kommunstyrelsen utfärdade direktiv för verksamheten. </w:t>
      </w:r>
    </w:p>
    <w:p w:rsidR="00613491" w:rsidRDefault="004B1D8A">
      <w:pPr>
        <w:spacing w:after="0" w:line="259" w:lineRule="auto"/>
        <w:ind w:left="235" w:firstLine="0"/>
      </w:pPr>
      <w:r>
        <w:rPr>
          <w:sz w:val="22"/>
        </w:rPr>
        <w:t xml:space="preserve"> </w:t>
      </w:r>
    </w:p>
    <w:p w:rsidR="00613491" w:rsidRDefault="004B1D8A">
      <w:pPr>
        <w:ind w:left="249" w:right="14"/>
      </w:pPr>
      <w:r>
        <w:t xml:space="preserve">Förutom genom lag och författning regleras bolagets verksamhet och förhållande till kommunen genom gällande bolagsordning, gällande ägardirektiv eller av kommunen utfärdade särskilda direktiv samt förekommande avtal mellan kommunen och bolagen. </w:t>
      </w:r>
    </w:p>
    <w:p w:rsidR="00613491" w:rsidRDefault="004B1D8A">
      <w:pPr>
        <w:spacing w:after="2" w:line="259" w:lineRule="auto"/>
        <w:ind w:left="235" w:firstLine="0"/>
      </w:pPr>
      <w:r>
        <w:rPr>
          <w:sz w:val="22"/>
        </w:rPr>
        <w:t xml:space="preserve"> </w:t>
      </w:r>
    </w:p>
    <w:p w:rsidR="00613491" w:rsidRDefault="004B1D8A">
      <w:pPr>
        <w:spacing w:after="255"/>
        <w:ind w:left="249" w:right="14"/>
      </w:pPr>
      <w:r>
        <w:t xml:space="preserve">Ägaren förutsätter att bolagets styrelse följer utfärdade direktiv under förutsättning att dessa inte strider mot tvingande bestämmelser i aktiebolagslagen eller annan lag eller författning. Utöver vad som anges i aktiebolagslagen om bolagens ledning gäller följande: </w:t>
      </w:r>
    </w:p>
    <w:p w:rsidR="00613491" w:rsidRDefault="004B1D8A">
      <w:pPr>
        <w:pStyle w:val="Rubrik3"/>
        <w:spacing w:after="0" w:line="259" w:lineRule="auto"/>
        <w:ind w:left="233"/>
      </w:pPr>
      <w:r>
        <w:rPr>
          <w:rFonts w:ascii="Times New Roman" w:eastAsia="Times New Roman" w:hAnsi="Times New Roman" w:cs="Times New Roman"/>
        </w:rPr>
        <w:t>2.1</w:t>
      </w:r>
      <w:r>
        <w:t xml:space="preserve"> </w:t>
      </w:r>
      <w:r>
        <w:rPr>
          <w:rFonts w:ascii="Times New Roman" w:eastAsia="Times New Roman" w:hAnsi="Times New Roman" w:cs="Times New Roman"/>
        </w:rPr>
        <w:t xml:space="preserve">Ersättares inträde </w:t>
      </w:r>
    </w:p>
    <w:p w:rsidR="00613491" w:rsidRDefault="004B1D8A">
      <w:pPr>
        <w:spacing w:after="0" w:line="259" w:lineRule="auto"/>
        <w:ind w:left="238" w:firstLine="0"/>
      </w:pPr>
      <w:r>
        <w:rPr>
          <w:sz w:val="22"/>
        </w:rPr>
        <w:t xml:space="preserve"> </w:t>
      </w:r>
    </w:p>
    <w:p w:rsidR="00613491" w:rsidRDefault="004B1D8A">
      <w:pPr>
        <w:ind w:left="249" w:right="14"/>
      </w:pPr>
      <w:r>
        <w:t xml:space="preserve">Kommunfullmäktige fastställer i vilken ordning ersättare i bolagens styrelser ska inträda vid förfall för ordinarie ledamot. </w:t>
      </w:r>
    </w:p>
    <w:p w:rsidR="00613491" w:rsidRDefault="004B1D8A">
      <w:pPr>
        <w:spacing w:after="0" w:line="259" w:lineRule="auto"/>
        <w:ind w:left="226" w:firstLine="0"/>
      </w:pPr>
      <w:r>
        <w:rPr>
          <w:sz w:val="22"/>
        </w:rPr>
        <w:t xml:space="preserve"> </w:t>
      </w:r>
    </w:p>
    <w:p w:rsidR="00613491" w:rsidRDefault="004B1D8A">
      <w:pPr>
        <w:ind w:left="249" w:right="14"/>
      </w:pPr>
      <w:r>
        <w:t xml:space="preserve">Ersättare har rätt att närvara och yttra sig vid styrelsens sammanträden. </w:t>
      </w:r>
    </w:p>
    <w:p w:rsidR="00613491" w:rsidRDefault="004B1D8A">
      <w:pPr>
        <w:spacing w:after="0" w:line="259" w:lineRule="auto"/>
        <w:ind w:left="226" w:firstLine="0"/>
      </w:pPr>
      <w:r>
        <w:rPr>
          <w:sz w:val="22"/>
        </w:rPr>
        <w:t xml:space="preserve"> </w:t>
      </w:r>
    </w:p>
    <w:p w:rsidR="00613491" w:rsidRDefault="004B1D8A">
      <w:pPr>
        <w:ind w:left="249" w:right="14"/>
      </w:pPr>
      <w:r>
        <w:t xml:space="preserve">Ersättare ska alltid för kännedom erhålla kallelse med tillhörande handlingar avseende styrelsesammanträde. </w:t>
      </w:r>
    </w:p>
    <w:p w:rsidR="00613491" w:rsidRDefault="004B1D8A">
      <w:pPr>
        <w:spacing w:after="0" w:line="259" w:lineRule="auto"/>
        <w:ind w:left="226" w:firstLine="0"/>
      </w:pPr>
      <w:r>
        <w:rPr>
          <w:sz w:val="22"/>
        </w:rPr>
        <w:t xml:space="preserve"> </w:t>
      </w:r>
    </w:p>
    <w:p w:rsidR="00613491" w:rsidRDefault="004B1D8A">
      <w:pPr>
        <w:spacing w:after="265"/>
        <w:ind w:left="249" w:right="14"/>
      </w:pPr>
      <w:r>
        <w:t xml:space="preserve">Närvarande ersättare har att iaktta motsvarande tystnadsplikt som gäller för ledamot. </w:t>
      </w:r>
    </w:p>
    <w:p w:rsidR="00613491" w:rsidRDefault="004B1D8A">
      <w:pPr>
        <w:pStyle w:val="Rubrik3"/>
        <w:spacing w:after="0" w:line="259" w:lineRule="auto"/>
        <w:ind w:left="233"/>
      </w:pPr>
      <w:r>
        <w:rPr>
          <w:rFonts w:ascii="Times New Roman" w:eastAsia="Times New Roman" w:hAnsi="Times New Roman" w:cs="Times New Roman"/>
        </w:rPr>
        <w:t>2.2</w:t>
      </w:r>
      <w:r>
        <w:t xml:space="preserve"> </w:t>
      </w:r>
      <w:r>
        <w:rPr>
          <w:rFonts w:ascii="Times New Roman" w:eastAsia="Times New Roman" w:hAnsi="Times New Roman" w:cs="Times New Roman"/>
        </w:rPr>
        <w:t xml:space="preserve">Instruktion för verkställande direktören </w:t>
      </w:r>
    </w:p>
    <w:p w:rsidR="00613491" w:rsidRDefault="004B1D8A">
      <w:pPr>
        <w:spacing w:after="55" w:line="259" w:lineRule="auto"/>
        <w:ind w:left="233" w:firstLine="0"/>
      </w:pPr>
      <w:r>
        <w:rPr>
          <w:sz w:val="22"/>
        </w:rPr>
        <w:t xml:space="preserve"> </w:t>
      </w:r>
    </w:p>
    <w:p w:rsidR="00613491" w:rsidRDefault="004B1D8A">
      <w:pPr>
        <w:spacing w:after="252"/>
        <w:ind w:left="249" w:right="14"/>
      </w:pPr>
      <w:r>
        <w:t xml:space="preserve">Styrelsen ska utarbeta och anta en instruktion för verkställande direktören för att reglera </w:t>
      </w:r>
      <w:proofErr w:type="spellStart"/>
      <w:r>
        <w:t>bl</w:t>
      </w:r>
      <w:proofErr w:type="spellEnd"/>
      <w:r>
        <w:t xml:space="preserve"> a befogenheten att ensam teckna bolagens firma endast i löpande förvaltning </w:t>
      </w:r>
      <w:proofErr w:type="spellStart"/>
      <w:r>
        <w:t>enl</w:t>
      </w:r>
      <w:proofErr w:type="spellEnd"/>
      <w:r>
        <w:t xml:space="preserve"> aktiebolagslagen 8 kap 36 paragrafen. </w:t>
      </w:r>
    </w:p>
    <w:p w:rsidR="00613491" w:rsidRDefault="004B1D8A">
      <w:pPr>
        <w:pStyle w:val="Rubrik3"/>
        <w:spacing w:after="0" w:line="259" w:lineRule="auto"/>
        <w:ind w:left="233"/>
      </w:pPr>
      <w:r>
        <w:rPr>
          <w:rFonts w:ascii="Times New Roman" w:eastAsia="Times New Roman" w:hAnsi="Times New Roman" w:cs="Times New Roman"/>
        </w:rPr>
        <w:t>2.3</w:t>
      </w:r>
      <w:r>
        <w:t xml:space="preserve"> </w:t>
      </w:r>
      <w:r>
        <w:rPr>
          <w:rFonts w:ascii="Times New Roman" w:eastAsia="Times New Roman" w:hAnsi="Times New Roman" w:cs="Times New Roman"/>
        </w:rPr>
        <w:t xml:space="preserve">Arvode </w:t>
      </w:r>
    </w:p>
    <w:p w:rsidR="00613491" w:rsidRDefault="004B1D8A">
      <w:pPr>
        <w:spacing w:after="43" w:line="259" w:lineRule="auto"/>
        <w:ind w:left="242" w:firstLine="0"/>
      </w:pPr>
      <w:r>
        <w:rPr>
          <w:sz w:val="22"/>
        </w:rPr>
        <w:t xml:space="preserve"> </w:t>
      </w:r>
    </w:p>
    <w:p w:rsidR="00613491" w:rsidRDefault="004B1D8A">
      <w:pPr>
        <w:ind w:left="249" w:right="14"/>
      </w:pPr>
      <w:r>
        <w:t xml:space="preserve">Kommunfullmäktige fastställer grunder för arvode och andra ersättningar som ska utgå till styrelseledamöter ersättare samt de lekmannarevisorer som utses av kommunfullmäktige. </w:t>
      </w:r>
    </w:p>
    <w:p w:rsidR="00172D49" w:rsidRDefault="004B1D8A" w:rsidP="00172D49">
      <w:pPr>
        <w:spacing w:after="0" w:line="259" w:lineRule="auto"/>
        <w:ind w:left="242" w:firstLine="0"/>
        <w:rPr>
          <w:sz w:val="20"/>
        </w:rPr>
      </w:pPr>
      <w:r>
        <w:rPr>
          <w:sz w:val="20"/>
        </w:rPr>
        <w:t xml:space="preserve"> </w:t>
      </w:r>
    </w:p>
    <w:p w:rsidR="00613491" w:rsidRDefault="004B1D8A" w:rsidP="00172D49">
      <w:pPr>
        <w:spacing w:after="0" w:line="259" w:lineRule="auto"/>
        <w:ind w:left="242" w:firstLine="0"/>
      </w:pPr>
      <w:r>
        <w:rPr>
          <w:sz w:val="20"/>
        </w:rPr>
        <w:t xml:space="preserve"> </w:t>
      </w:r>
    </w:p>
    <w:p w:rsidR="00613491" w:rsidRPr="00E85A52" w:rsidRDefault="004B1D8A" w:rsidP="00D30E3C">
      <w:pPr>
        <w:pStyle w:val="Rubrik1"/>
        <w:ind w:left="0" w:firstLine="239"/>
        <w:rPr>
          <w:sz w:val="24"/>
          <w:szCs w:val="24"/>
        </w:rPr>
      </w:pPr>
      <w:r w:rsidRPr="00E85A52">
        <w:rPr>
          <w:sz w:val="24"/>
          <w:szCs w:val="24"/>
        </w:rPr>
        <w:t xml:space="preserve">3. Bolagens verksamhet </w:t>
      </w:r>
    </w:p>
    <w:p w:rsidR="0064246F" w:rsidRDefault="0064246F" w:rsidP="00172D49">
      <w:pPr>
        <w:spacing w:after="0" w:line="259" w:lineRule="auto"/>
        <w:ind w:left="240" w:firstLine="0"/>
      </w:pPr>
    </w:p>
    <w:p w:rsidR="002D6773" w:rsidRPr="005324CB" w:rsidRDefault="004B1D8A" w:rsidP="00D30E3C">
      <w:pPr>
        <w:spacing w:after="75" w:line="259" w:lineRule="auto"/>
        <w:ind w:left="240" w:firstLine="0"/>
        <w:rPr>
          <w:color w:val="auto"/>
        </w:rPr>
      </w:pPr>
      <w:r w:rsidRPr="005324CB">
        <w:rPr>
          <w:color w:val="auto"/>
        </w:rPr>
        <w:t xml:space="preserve">De kommunägda bolagen ska </w:t>
      </w:r>
      <w:r w:rsidR="00B3322B" w:rsidRPr="005324CB">
        <w:rPr>
          <w:color w:val="auto"/>
        </w:rPr>
        <w:t xml:space="preserve">ta ett samhällsansvar och </w:t>
      </w:r>
      <w:r w:rsidRPr="005324CB">
        <w:rPr>
          <w:color w:val="auto"/>
        </w:rPr>
        <w:t xml:space="preserve">enskilt och gemensamt verka för att Linköping </w:t>
      </w:r>
      <w:r w:rsidR="004973C5" w:rsidRPr="005324CB">
        <w:rPr>
          <w:color w:val="auto"/>
        </w:rPr>
        <w:t>utvecklas utifrån samverkansprogram ”Höjda ambitioner för Linköping”</w:t>
      </w:r>
      <w:r w:rsidRPr="005324CB">
        <w:rPr>
          <w:color w:val="auto"/>
        </w:rPr>
        <w:t xml:space="preserve"> De kommunägda bolagen ska medverka till att Linköping är attraktivt att bo, leva, och verka i. Vidare ska samtliga bolag i bolagskoncernen verka utifrån devisen "Linköping - där idéer blir verklighet". </w:t>
      </w:r>
      <w:r w:rsidR="00C612CF" w:rsidRPr="005324CB">
        <w:rPr>
          <w:color w:val="auto"/>
        </w:rPr>
        <w:t xml:space="preserve">Bolagen ska </w:t>
      </w:r>
      <w:r w:rsidR="00C612CF" w:rsidRPr="005324CB">
        <w:rPr>
          <w:rStyle w:val="Betoning"/>
          <w:rFonts w:eastAsia="Arial"/>
          <w:i w:val="0"/>
          <w:iCs w:val="0"/>
          <w:color w:val="auto"/>
        </w:rPr>
        <w:t>a</w:t>
      </w:r>
      <w:r w:rsidR="00D30E3C" w:rsidRPr="005324CB">
        <w:rPr>
          <w:rStyle w:val="Betoning"/>
          <w:rFonts w:eastAsia="Arial"/>
          <w:i w:val="0"/>
          <w:iCs w:val="0"/>
          <w:color w:val="auto"/>
        </w:rPr>
        <w:t xml:space="preserve">ktivt verka för att </w:t>
      </w:r>
      <w:r w:rsidR="00D30E3C" w:rsidRPr="005324CB">
        <w:rPr>
          <w:color w:val="auto"/>
        </w:rPr>
        <w:t>målsättningen</w:t>
      </w:r>
      <w:r w:rsidR="002D6773" w:rsidRPr="005324CB">
        <w:rPr>
          <w:color w:val="auto"/>
        </w:rPr>
        <w:t xml:space="preserve"> om </w:t>
      </w:r>
      <w:r w:rsidR="00D30E3C" w:rsidRPr="005324CB">
        <w:rPr>
          <w:color w:val="auto"/>
        </w:rPr>
        <w:t xml:space="preserve">ett </w:t>
      </w:r>
      <w:r w:rsidR="002D6773" w:rsidRPr="005324CB">
        <w:rPr>
          <w:color w:val="auto"/>
        </w:rPr>
        <w:t>koldioxidneutra</w:t>
      </w:r>
      <w:r w:rsidR="00D30E3C" w:rsidRPr="005324CB">
        <w:rPr>
          <w:color w:val="auto"/>
        </w:rPr>
        <w:t>l</w:t>
      </w:r>
      <w:r w:rsidR="002D6773" w:rsidRPr="005324CB">
        <w:rPr>
          <w:color w:val="auto"/>
        </w:rPr>
        <w:t xml:space="preserve">t </w:t>
      </w:r>
      <w:r w:rsidR="00D30E3C" w:rsidRPr="005324CB">
        <w:rPr>
          <w:color w:val="auto"/>
        </w:rPr>
        <w:t xml:space="preserve">Linköping </w:t>
      </w:r>
      <w:r w:rsidR="002D6773" w:rsidRPr="005324CB">
        <w:rPr>
          <w:color w:val="auto"/>
        </w:rPr>
        <w:t>2025</w:t>
      </w:r>
      <w:r w:rsidR="00D30E3C" w:rsidRPr="005324CB">
        <w:rPr>
          <w:color w:val="auto"/>
        </w:rPr>
        <w:t xml:space="preserve"> uppnås</w:t>
      </w:r>
      <w:r w:rsidR="002D6773" w:rsidRPr="005324CB">
        <w:rPr>
          <w:color w:val="auto"/>
        </w:rPr>
        <w:t xml:space="preserve">, verka för ökad sysselsättning för unga och </w:t>
      </w:r>
      <w:r w:rsidR="002D6773" w:rsidRPr="005324CB">
        <w:rPr>
          <w:color w:val="auto"/>
        </w:rPr>
        <w:lastRenderedPageBreak/>
        <w:t xml:space="preserve">personer långt ifrån arbetsmarknaden, </w:t>
      </w:r>
      <w:r w:rsidR="00B3322B" w:rsidRPr="005324CB">
        <w:rPr>
          <w:color w:val="auto"/>
        </w:rPr>
        <w:t xml:space="preserve">minska segregationen </w:t>
      </w:r>
      <w:r w:rsidR="002D6773" w:rsidRPr="005324CB">
        <w:rPr>
          <w:color w:val="auto"/>
        </w:rPr>
        <w:t>samt öka produktionen av bostäder.</w:t>
      </w:r>
      <w:r w:rsidR="00D30E3C" w:rsidRPr="005324CB">
        <w:rPr>
          <w:color w:val="auto"/>
        </w:rPr>
        <w:t xml:space="preserve"> </w:t>
      </w:r>
    </w:p>
    <w:p w:rsidR="00613491" w:rsidRDefault="00613491" w:rsidP="00D30E3C">
      <w:pPr>
        <w:spacing w:after="0" w:line="259" w:lineRule="auto"/>
        <w:ind w:left="0" w:firstLine="0"/>
        <w:jc w:val="right"/>
      </w:pPr>
    </w:p>
    <w:p w:rsidR="00613491" w:rsidRDefault="004B1D8A">
      <w:pPr>
        <w:spacing w:after="0" w:line="236" w:lineRule="auto"/>
        <w:ind w:left="233" w:right="104"/>
        <w:jc w:val="both"/>
      </w:pPr>
      <w:r>
        <w:t xml:space="preserve">Bolagen ska drivas enligt affärsmässiga principer under iakttagande av det kommunala ändamålet med verksamheten och de kommunalrättsliga principer som framgår av bolagsordningen och detta ägardirektiv samt särskilt ägardirektiv. </w:t>
      </w:r>
    </w:p>
    <w:p w:rsidR="00613491" w:rsidRDefault="004B1D8A">
      <w:pPr>
        <w:spacing w:after="0" w:line="259" w:lineRule="auto"/>
        <w:ind w:left="228" w:firstLine="0"/>
      </w:pPr>
      <w:r>
        <w:t xml:space="preserve"> </w:t>
      </w:r>
    </w:p>
    <w:p w:rsidR="00613491" w:rsidRDefault="004B1D8A">
      <w:pPr>
        <w:ind w:left="249" w:right="14"/>
      </w:pPr>
      <w:r>
        <w:t xml:space="preserve">Bolagen bedriver kommunal verksamhet och i den mån det är tillämpligt gäller självkostnadsprincip, likställighetsprincip och lokaliseringsprincip. </w:t>
      </w:r>
    </w:p>
    <w:p w:rsidR="00613491" w:rsidRDefault="004B1D8A">
      <w:pPr>
        <w:spacing w:after="0" w:line="259" w:lineRule="auto"/>
        <w:ind w:left="228" w:firstLine="0"/>
      </w:pPr>
      <w:r>
        <w:t xml:space="preserve"> </w:t>
      </w:r>
    </w:p>
    <w:p w:rsidR="00E85A52" w:rsidRDefault="004B1D8A" w:rsidP="00B3322B">
      <w:pPr>
        <w:ind w:left="0" w:firstLine="213"/>
        <w:rPr>
          <w:b/>
        </w:rPr>
      </w:pPr>
      <w:r w:rsidRPr="00B3322B">
        <w:rPr>
          <w:b/>
        </w:rPr>
        <w:t xml:space="preserve">Principer enligt </w:t>
      </w:r>
      <w:r w:rsidR="00B3322B" w:rsidRPr="00B3322B">
        <w:rPr>
          <w:b/>
        </w:rPr>
        <w:t>fö</w:t>
      </w:r>
      <w:r w:rsidRPr="00B3322B">
        <w:rPr>
          <w:b/>
        </w:rPr>
        <w:t>ljande</w:t>
      </w:r>
      <w:r w:rsidR="00E85A52">
        <w:rPr>
          <w:b/>
        </w:rPr>
        <w:t>:</w:t>
      </w:r>
    </w:p>
    <w:p w:rsidR="00613491" w:rsidRDefault="004B1D8A" w:rsidP="00B3322B">
      <w:pPr>
        <w:ind w:left="0" w:firstLine="213"/>
      </w:pPr>
      <w:r>
        <w:t xml:space="preserve">:   </w:t>
      </w:r>
    </w:p>
    <w:p w:rsidR="00613491" w:rsidRDefault="004B1D8A">
      <w:pPr>
        <w:pStyle w:val="Rubrik2"/>
        <w:ind w:left="223"/>
      </w:pPr>
      <w:r>
        <w:t xml:space="preserve">Självkostnadsprincipen </w:t>
      </w:r>
    </w:p>
    <w:p w:rsidR="00613491" w:rsidRDefault="004B1D8A">
      <w:pPr>
        <w:ind w:left="249" w:right="14"/>
      </w:pPr>
      <w:r>
        <w:t xml:space="preserve">Bolagen ska vid sin prissättning räkna med samtliga kostnader som vid normal affärsmässig drift är motiverade från företagsekonomisk synpunkt. Det innebär att relevanta interna och kalkylerade kostnader ska ingå. I självkostnaden ska också ingå kapitalkostnader samt skälig avkastning på det egna kapitalet. </w:t>
      </w:r>
    </w:p>
    <w:p w:rsidR="00613491" w:rsidRDefault="004B1D8A">
      <w:pPr>
        <w:spacing w:after="0" w:line="259" w:lineRule="auto"/>
        <w:ind w:left="226" w:firstLine="0"/>
      </w:pPr>
      <w:r>
        <w:t xml:space="preserve"> </w:t>
      </w:r>
    </w:p>
    <w:p w:rsidR="00613491" w:rsidRDefault="004B1D8A">
      <w:pPr>
        <w:pStyle w:val="Rubrik2"/>
        <w:ind w:left="223"/>
      </w:pPr>
      <w:r>
        <w:t xml:space="preserve">Likställighetsprincipen </w:t>
      </w:r>
    </w:p>
    <w:p w:rsidR="00613491" w:rsidRDefault="004B1D8A">
      <w:pPr>
        <w:ind w:left="249" w:right="14"/>
      </w:pPr>
      <w:r>
        <w:t xml:space="preserve">Bolagen ska behandla de kunder som är kommunmedlemmar lika, om det inte finns sakliga skäl för något annat. </w:t>
      </w:r>
    </w:p>
    <w:p w:rsidR="00613491" w:rsidRDefault="004B1D8A">
      <w:pPr>
        <w:spacing w:after="0" w:line="259" w:lineRule="auto"/>
        <w:ind w:left="228" w:firstLine="0"/>
      </w:pPr>
      <w:r>
        <w:t xml:space="preserve"> </w:t>
      </w:r>
    </w:p>
    <w:p w:rsidR="00613491" w:rsidRDefault="004B1D8A">
      <w:pPr>
        <w:pStyle w:val="Rubrik2"/>
        <w:ind w:left="223"/>
      </w:pPr>
      <w:r>
        <w:t xml:space="preserve">Lokaliseringsprincipen </w:t>
      </w:r>
    </w:p>
    <w:p w:rsidR="00613491" w:rsidRDefault="004B1D8A">
      <w:pPr>
        <w:spacing w:after="239"/>
        <w:ind w:left="249" w:right="14"/>
      </w:pPr>
      <w:r>
        <w:t xml:space="preserve">Bolagen ska endast bedriva verksamhet inom det geografiska området Linköpings kommun. Denna princip gäller även för samtliga dotterbolag. Eventuella undantag framgår av de särskilda ägardirektiven. </w:t>
      </w:r>
    </w:p>
    <w:p w:rsidR="00DE027A" w:rsidRDefault="00DE027A">
      <w:pPr>
        <w:pStyle w:val="Rubrik3"/>
        <w:ind w:left="252"/>
      </w:pPr>
    </w:p>
    <w:p w:rsidR="00613491" w:rsidRDefault="006920AA" w:rsidP="00CB550E">
      <w:pPr>
        <w:pStyle w:val="Rubrik3"/>
        <w:ind w:left="0" w:firstLine="239"/>
      </w:pPr>
      <w:r>
        <w:t>4</w:t>
      </w:r>
      <w:r w:rsidR="004B1D8A">
        <w:t xml:space="preserve">. Samverkan inom bolagskoncernen och med kommunens verksamheter </w:t>
      </w:r>
    </w:p>
    <w:p w:rsidR="00613491" w:rsidRDefault="004B1D8A" w:rsidP="00172D49">
      <w:pPr>
        <w:spacing w:after="0" w:line="259" w:lineRule="auto"/>
        <w:ind w:left="242" w:firstLine="0"/>
      </w:pPr>
      <w:r>
        <w:rPr>
          <w:sz w:val="20"/>
        </w:rPr>
        <w:t xml:space="preserve"> </w:t>
      </w:r>
    </w:p>
    <w:p w:rsidR="00613491" w:rsidRDefault="004B1D8A" w:rsidP="00E85A52">
      <w:pPr>
        <w:spacing w:after="0"/>
        <w:ind w:left="249" w:right="14"/>
      </w:pPr>
      <w:r>
        <w:t>Den kommunala verksamheten såväl i förvaltningsform som i bolagsform ska präglas av samma helhetssyn och princip avseende koncern nytta. Kommunen och bolaget ska i samråd söka lösningar som tillgodoser kommunens samlade intresse.</w:t>
      </w:r>
      <w:r w:rsidR="00E85A52">
        <w:br/>
      </w:r>
      <w:r w:rsidR="00E85A52">
        <w:br/>
      </w:r>
      <w:r>
        <w:t xml:space="preserve"> </w:t>
      </w:r>
    </w:p>
    <w:p w:rsidR="00613491" w:rsidRDefault="006920AA" w:rsidP="00E85A52">
      <w:pPr>
        <w:pStyle w:val="Rubrik3"/>
        <w:spacing w:after="0"/>
        <w:ind w:left="252"/>
      </w:pPr>
      <w:r>
        <w:t>5</w:t>
      </w:r>
      <w:r w:rsidR="004B1D8A">
        <w:t xml:space="preserve">. Anställningsvillkor för ledning i kommunägda bolag </w:t>
      </w:r>
    </w:p>
    <w:p w:rsidR="00613491" w:rsidRDefault="004B1D8A" w:rsidP="00172D49">
      <w:pPr>
        <w:spacing w:after="0" w:line="259" w:lineRule="auto"/>
        <w:ind w:left="240" w:firstLine="0"/>
      </w:pPr>
      <w:r>
        <w:rPr>
          <w:sz w:val="20"/>
        </w:rPr>
        <w:t xml:space="preserve"> </w:t>
      </w:r>
    </w:p>
    <w:p w:rsidR="00613491" w:rsidRPr="005324CB" w:rsidRDefault="004B1D8A">
      <w:pPr>
        <w:spacing w:after="218"/>
        <w:ind w:left="249" w:right="14"/>
        <w:rPr>
          <w:color w:val="auto"/>
        </w:rPr>
      </w:pPr>
      <w:r w:rsidRPr="005324CB">
        <w:rPr>
          <w:color w:val="auto"/>
        </w:rPr>
        <w:t xml:space="preserve">För VD </w:t>
      </w:r>
      <w:r w:rsidR="004973C5" w:rsidRPr="005324CB">
        <w:rPr>
          <w:color w:val="auto"/>
        </w:rPr>
        <w:t xml:space="preserve">och vice VD </w:t>
      </w:r>
      <w:r w:rsidRPr="005324CB">
        <w:rPr>
          <w:color w:val="auto"/>
        </w:rPr>
        <w:t xml:space="preserve">ska de villkor som gäller vid eventuell uppsägning från arbetsgivarens sida regleras i anställningsavtalet. Eventuell avgångsersättning ska framgå av avtalet. </w:t>
      </w:r>
      <w:r w:rsidR="004973C5" w:rsidRPr="005324CB">
        <w:rPr>
          <w:color w:val="auto"/>
        </w:rPr>
        <w:t>Vid utformning av anställningsavtal ska samråd ske med Stadshus AB.</w:t>
      </w:r>
    </w:p>
    <w:p w:rsidR="00613491" w:rsidRDefault="004B1D8A">
      <w:pPr>
        <w:spacing w:after="494"/>
        <w:ind w:left="249" w:right="14"/>
      </w:pPr>
      <w:r>
        <w:t xml:space="preserve">Bonuslönesystem eller likande lönesystem ska inte tillämpas för VD och vice VD eller motsvarande. </w:t>
      </w:r>
    </w:p>
    <w:p w:rsidR="00613491" w:rsidRDefault="006920AA">
      <w:pPr>
        <w:pStyle w:val="Rubrik3"/>
        <w:ind w:left="252"/>
      </w:pPr>
      <w:r>
        <w:t>6</w:t>
      </w:r>
      <w:r w:rsidR="004B1D8A">
        <w:t xml:space="preserve">. Bolagens stämmor </w:t>
      </w:r>
    </w:p>
    <w:p w:rsidR="00613491" w:rsidRDefault="004B1D8A" w:rsidP="00172D49">
      <w:pPr>
        <w:spacing w:after="0" w:line="259" w:lineRule="auto"/>
        <w:ind w:left="235" w:firstLine="0"/>
      </w:pPr>
      <w:r>
        <w:rPr>
          <w:sz w:val="20"/>
        </w:rPr>
        <w:t xml:space="preserve"> </w:t>
      </w:r>
    </w:p>
    <w:p w:rsidR="00613491" w:rsidRDefault="004B1D8A">
      <w:pPr>
        <w:ind w:left="249" w:right="14"/>
      </w:pPr>
      <w:r>
        <w:t xml:space="preserve">Bolagen ska senast åtta veckor före planerad årsstämma lämna skriftlig </w:t>
      </w:r>
    </w:p>
    <w:p w:rsidR="00613491" w:rsidRDefault="004B1D8A">
      <w:pPr>
        <w:ind w:left="249" w:right="14"/>
      </w:pPr>
      <w:r>
        <w:t xml:space="preserve">förhandsinformation till Linköpings Stadshus AB och kommunstyrelsen om tidpunkt för årsstämma. </w:t>
      </w:r>
    </w:p>
    <w:p w:rsidR="00613491" w:rsidRDefault="004B1D8A">
      <w:pPr>
        <w:spacing w:after="12" w:line="259" w:lineRule="auto"/>
        <w:ind w:left="226" w:firstLine="0"/>
      </w:pPr>
      <w:r>
        <w:rPr>
          <w:sz w:val="22"/>
        </w:rPr>
        <w:t xml:space="preserve"> </w:t>
      </w:r>
    </w:p>
    <w:p w:rsidR="00E85A52" w:rsidRDefault="00E85A52">
      <w:pPr>
        <w:spacing w:after="0" w:line="236" w:lineRule="auto"/>
        <w:ind w:left="233" w:right="104"/>
        <w:jc w:val="both"/>
      </w:pPr>
    </w:p>
    <w:p w:rsidR="00E85A52" w:rsidRDefault="00E85A52">
      <w:pPr>
        <w:spacing w:after="0" w:line="236" w:lineRule="auto"/>
        <w:ind w:left="233" w:right="104"/>
        <w:jc w:val="both"/>
      </w:pPr>
    </w:p>
    <w:p w:rsidR="00613491" w:rsidRDefault="004B1D8A">
      <w:pPr>
        <w:spacing w:after="0" w:line="236" w:lineRule="auto"/>
        <w:ind w:left="233" w:right="104"/>
        <w:jc w:val="both"/>
      </w:pPr>
      <w:r>
        <w:t xml:space="preserve">Samtidigt med denna förhandsinformation ska bolagen lämna information om årsredovisning, revisionsberättelse, granskningsrapport från lekmannarevisorer och eventuella övriga ärenden som ska behandlas på årsstämman. </w:t>
      </w:r>
    </w:p>
    <w:p w:rsidR="00613491" w:rsidRDefault="004B1D8A">
      <w:pPr>
        <w:spacing w:after="0" w:line="259" w:lineRule="auto"/>
        <w:ind w:left="230" w:firstLine="0"/>
      </w:pPr>
      <w:r>
        <w:rPr>
          <w:sz w:val="22"/>
        </w:rPr>
        <w:t xml:space="preserve"> </w:t>
      </w:r>
    </w:p>
    <w:p w:rsidR="00613491" w:rsidRDefault="004B1D8A">
      <w:pPr>
        <w:spacing w:after="235"/>
        <w:ind w:left="249" w:right="14"/>
      </w:pPr>
      <w:r>
        <w:t xml:space="preserve">Tidpunkt för kallelse till årsstämma regleras i bolagsordningen. Tillsammans med kallelse ska bolagen överlämna fullständiga handlingar i de ärenden som ska behandlas. </w:t>
      </w:r>
    </w:p>
    <w:p w:rsidR="00613491" w:rsidRDefault="004B1D8A">
      <w:pPr>
        <w:ind w:left="249" w:right="14"/>
      </w:pPr>
      <w:r>
        <w:t xml:space="preserve">Kommunfullmäktige utser den person som ska företräda kommunen vid årsstämma i moderbolaget Linköpings Stadshus AB. Kommunstyrelsen förser dessa ombud med vederbörlig fullmakt samt beslutar om instruktion för ombudet. </w:t>
      </w:r>
    </w:p>
    <w:p w:rsidR="00613491" w:rsidRDefault="004B1D8A">
      <w:pPr>
        <w:spacing w:after="0" w:line="259" w:lineRule="auto"/>
        <w:ind w:left="226" w:firstLine="0"/>
      </w:pPr>
      <w:r>
        <w:rPr>
          <w:sz w:val="22"/>
        </w:rPr>
        <w:t xml:space="preserve"> </w:t>
      </w:r>
    </w:p>
    <w:p w:rsidR="00613491" w:rsidRDefault="004B1D8A">
      <w:pPr>
        <w:spacing w:after="280"/>
        <w:ind w:left="249" w:right="14"/>
      </w:pPr>
      <w:r>
        <w:t xml:space="preserve">Linköpings Stadshus AB utser den person som ska företräda kommunen och moderbolaget vid bolagsstämma i dotterbolagen och beslutar om instruktion och förser ombudet med erforderlig fullmakt. </w:t>
      </w:r>
    </w:p>
    <w:p w:rsidR="00613491" w:rsidRDefault="006920AA">
      <w:pPr>
        <w:pStyle w:val="Rubrik4"/>
        <w:spacing w:after="206"/>
        <w:ind w:left="233"/>
      </w:pPr>
      <w:r>
        <w:t>6</w:t>
      </w:r>
      <w:r w:rsidR="004B1D8A">
        <w:t>.1</w:t>
      </w:r>
      <w:r w:rsidR="004B1D8A">
        <w:rPr>
          <w:rFonts w:ascii="Arial" w:eastAsia="Arial" w:hAnsi="Arial" w:cs="Arial"/>
        </w:rPr>
        <w:t xml:space="preserve"> </w:t>
      </w:r>
      <w:r w:rsidR="004B1D8A">
        <w:t xml:space="preserve">Extra bolagsstämma </w:t>
      </w:r>
    </w:p>
    <w:p w:rsidR="00613491" w:rsidRDefault="004B1D8A">
      <w:pPr>
        <w:spacing w:after="231"/>
        <w:ind w:left="249" w:right="14"/>
      </w:pPr>
      <w:r>
        <w:t xml:space="preserve">På begäran av kommunens stämmoombud ska bolagens styrelser kalla till extra bolagsstämma. </w:t>
      </w:r>
    </w:p>
    <w:p w:rsidR="00613491" w:rsidRDefault="006920AA">
      <w:pPr>
        <w:pStyle w:val="Rubrik4"/>
        <w:ind w:left="233"/>
      </w:pPr>
      <w:r>
        <w:t>6</w:t>
      </w:r>
      <w:r w:rsidR="004B1D8A">
        <w:t>.2</w:t>
      </w:r>
      <w:r w:rsidR="004B1D8A">
        <w:rPr>
          <w:rFonts w:ascii="Arial" w:eastAsia="Arial" w:hAnsi="Arial" w:cs="Arial"/>
        </w:rPr>
        <w:t xml:space="preserve"> </w:t>
      </w:r>
      <w:r w:rsidR="004B1D8A">
        <w:t xml:space="preserve">Bolagsstämmor - Bolag ägda av dotterbolagen </w:t>
      </w:r>
    </w:p>
    <w:p w:rsidR="00613491" w:rsidRDefault="004B1D8A">
      <w:pPr>
        <w:spacing w:after="41" w:line="259" w:lineRule="auto"/>
        <w:ind w:left="228" w:firstLine="0"/>
      </w:pPr>
      <w:r>
        <w:rPr>
          <w:sz w:val="22"/>
        </w:rPr>
        <w:t xml:space="preserve"> </w:t>
      </w:r>
    </w:p>
    <w:p w:rsidR="00613491" w:rsidRDefault="004B1D8A">
      <w:pPr>
        <w:ind w:left="249" w:right="14"/>
      </w:pPr>
      <w:r>
        <w:t xml:space="preserve">Respektive dotterbolags styrelse beslutar om instruktion för de ombud som ska företräda ägaren i bolag ägda av dotterbolagen vid deras respektive bolagsstämma. Instruktionen ska endast avse ställningstaganden till ansvarsfrihet på det sätt revisorerna föreslår, resultatdisposition och </w:t>
      </w:r>
      <w:proofErr w:type="spellStart"/>
      <w:r>
        <w:t>ev</w:t>
      </w:r>
      <w:proofErr w:type="spellEnd"/>
      <w:r>
        <w:t xml:space="preserve"> utdelning enligt styrelsens förslag samt överlämnande av ägardirektiv, uppdrag och val som beslutats av kommunfullmäktige. Arvoden och ersättningar ska utgå i enlighet med fullmäktiges beslut. </w:t>
      </w:r>
    </w:p>
    <w:p w:rsidR="00613491" w:rsidRDefault="004B1D8A">
      <w:pPr>
        <w:spacing w:after="0" w:line="259" w:lineRule="auto"/>
        <w:ind w:left="242" w:firstLine="0"/>
      </w:pPr>
      <w:r>
        <w:rPr>
          <w:sz w:val="22"/>
        </w:rPr>
        <w:t xml:space="preserve"> </w:t>
      </w:r>
    </w:p>
    <w:p w:rsidR="00613491" w:rsidRDefault="004B1D8A">
      <w:pPr>
        <w:spacing w:after="39" w:line="259" w:lineRule="auto"/>
        <w:ind w:left="242" w:firstLine="0"/>
      </w:pPr>
      <w:r>
        <w:rPr>
          <w:sz w:val="20"/>
        </w:rPr>
        <w:t xml:space="preserve"> </w:t>
      </w:r>
    </w:p>
    <w:p w:rsidR="00613491" w:rsidRDefault="006920AA">
      <w:pPr>
        <w:pStyle w:val="Rubrik3"/>
        <w:spacing w:after="218"/>
        <w:ind w:left="252"/>
      </w:pPr>
      <w:r>
        <w:t>7</w:t>
      </w:r>
      <w:r w:rsidR="004B1D8A">
        <w:t xml:space="preserve">. Informationskrav </w:t>
      </w:r>
    </w:p>
    <w:p w:rsidR="00613491" w:rsidRDefault="006920AA">
      <w:pPr>
        <w:pStyle w:val="Rubrik4"/>
        <w:ind w:left="233"/>
      </w:pPr>
      <w:r>
        <w:t>7</w:t>
      </w:r>
      <w:r w:rsidR="004B1D8A">
        <w:t>.1</w:t>
      </w:r>
      <w:r w:rsidR="004B1D8A">
        <w:rPr>
          <w:rFonts w:ascii="Arial" w:eastAsia="Arial" w:hAnsi="Arial" w:cs="Arial"/>
        </w:rPr>
        <w:t xml:space="preserve"> </w:t>
      </w:r>
      <w:r w:rsidR="004B1D8A">
        <w:t xml:space="preserve">Information till Allmänheten </w:t>
      </w:r>
    </w:p>
    <w:p w:rsidR="00613491" w:rsidRDefault="004B1D8A">
      <w:pPr>
        <w:spacing w:after="67" w:line="259" w:lineRule="auto"/>
        <w:ind w:left="235" w:firstLine="0"/>
      </w:pPr>
      <w:r>
        <w:rPr>
          <w:sz w:val="22"/>
        </w:rPr>
        <w:t xml:space="preserve"> </w:t>
      </w:r>
    </w:p>
    <w:p w:rsidR="00613491" w:rsidRPr="005324CB" w:rsidRDefault="004973C5">
      <w:pPr>
        <w:spacing w:after="257"/>
        <w:ind w:left="249" w:right="14"/>
        <w:rPr>
          <w:color w:val="auto"/>
        </w:rPr>
      </w:pPr>
      <w:r w:rsidRPr="005324CB">
        <w:rPr>
          <w:color w:val="auto"/>
        </w:rPr>
        <w:t xml:space="preserve">Respektive bolag ska </w:t>
      </w:r>
      <w:r w:rsidR="004B1D8A" w:rsidRPr="005324CB">
        <w:rPr>
          <w:color w:val="auto"/>
        </w:rPr>
        <w:t>skapa förutsättningar för återkommande dialog med allmänheten</w:t>
      </w:r>
      <w:r w:rsidRPr="005324CB">
        <w:rPr>
          <w:color w:val="auto"/>
        </w:rPr>
        <w:t xml:space="preserve"> utifrån bolagets förutsättningar</w:t>
      </w:r>
      <w:r w:rsidR="004B1D8A" w:rsidRPr="005324CB">
        <w:rPr>
          <w:color w:val="auto"/>
        </w:rPr>
        <w:t xml:space="preserve">. </w:t>
      </w:r>
    </w:p>
    <w:p w:rsidR="00613491" w:rsidRDefault="006920AA">
      <w:pPr>
        <w:pStyle w:val="Rubrik4"/>
        <w:ind w:left="233"/>
      </w:pPr>
      <w:r>
        <w:t>7</w:t>
      </w:r>
      <w:r w:rsidR="004B1D8A">
        <w:t>.2</w:t>
      </w:r>
      <w:r w:rsidR="004B1D8A">
        <w:rPr>
          <w:rFonts w:ascii="Arial" w:eastAsia="Arial" w:hAnsi="Arial" w:cs="Arial"/>
        </w:rPr>
        <w:t xml:space="preserve"> </w:t>
      </w:r>
      <w:r w:rsidR="004B1D8A">
        <w:t xml:space="preserve">Kommunens insyn i bolagets verksamhet </w:t>
      </w:r>
    </w:p>
    <w:p w:rsidR="00613491" w:rsidRDefault="004B1D8A">
      <w:pPr>
        <w:spacing w:after="48" w:line="259" w:lineRule="auto"/>
        <w:ind w:left="242" w:firstLine="0"/>
      </w:pPr>
      <w:r>
        <w:rPr>
          <w:sz w:val="22"/>
        </w:rPr>
        <w:t xml:space="preserve"> </w:t>
      </w:r>
    </w:p>
    <w:p w:rsidR="00613491" w:rsidRDefault="004B1D8A">
      <w:pPr>
        <w:spacing w:after="230"/>
        <w:ind w:left="249" w:right="14"/>
      </w:pPr>
      <w:r>
        <w:t xml:space="preserve">Bolagens verksamhet står under uppsikt av kommunstyrelsen. Kommunstyrelsen har rätt att själv eller genom därtill utsedda personer när som helst ta del av bolagets räkenskaper och övriga handlingar och att även i övrigt inspektera bolaget och dess verksamhet. </w:t>
      </w:r>
    </w:p>
    <w:p w:rsidR="00613491" w:rsidRDefault="004B1D8A">
      <w:pPr>
        <w:spacing w:after="553"/>
        <w:ind w:left="249" w:right="14"/>
      </w:pPr>
      <w:r>
        <w:t xml:space="preserve">På begäran ska kommunstyrelsen informeras om och tillställas handlingar rörande bolagens verksamheter, om handlingarna inte är av en sådan beskaffenhet att bolagen på grund av reglerna om offentlighet och sekretess inte kan lämna ut dem. Information och handlingar går via moderbolaget Linköpings Stadshus AB enligt rådande koncernorganisation. </w:t>
      </w:r>
    </w:p>
    <w:p w:rsidR="00E85A52" w:rsidRDefault="00E85A52" w:rsidP="005324CB">
      <w:pPr>
        <w:pStyle w:val="Rubrik4"/>
        <w:ind w:left="0" w:firstLine="239"/>
      </w:pPr>
    </w:p>
    <w:p w:rsidR="00E85A52" w:rsidRDefault="00E85A52" w:rsidP="005324CB">
      <w:pPr>
        <w:pStyle w:val="Rubrik4"/>
        <w:ind w:left="0" w:firstLine="239"/>
      </w:pPr>
    </w:p>
    <w:p w:rsidR="00613491" w:rsidRDefault="006920AA" w:rsidP="005324CB">
      <w:pPr>
        <w:pStyle w:val="Rubrik4"/>
        <w:ind w:left="0" w:firstLine="239"/>
      </w:pPr>
      <w:r>
        <w:t>7</w:t>
      </w:r>
      <w:r w:rsidR="004B1D8A">
        <w:t>.3</w:t>
      </w:r>
      <w:r w:rsidR="004B1D8A">
        <w:rPr>
          <w:rFonts w:ascii="Arial" w:eastAsia="Arial" w:hAnsi="Arial" w:cs="Arial"/>
        </w:rPr>
        <w:t xml:space="preserve"> </w:t>
      </w:r>
      <w:r w:rsidR="004B1D8A">
        <w:t xml:space="preserve">Informationsskyldighet för bolaget </w:t>
      </w:r>
    </w:p>
    <w:p w:rsidR="00613491" w:rsidRDefault="004B1D8A" w:rsidP="00172D49">
      <w:pPr>
        <w:spacing w:after="0" w:line="259" w:lineRule="auto"/>
        <w:ind w:left="226" w:firstLine="0"/>
      </w:pPr>
      <w:r>
        <w:rPr>
          <w:sz w:val="22"/>
        </w:rPr>
        <w:t xml:space="preserve"> </w:t>
      </w:r>
    </w:p>
    <w:p w:rsidR="00613491" w:rsidRDefault="004B1D8A">
      <w:pPr>
        <w:ind w:left="249" w:right="14"/>
      </w:pPr>
      <w:r>
        <w:t xml:space="preserve">Efter kallelse av kommunfullmäktige eller kommunstyrelse ska bolagen lämna information och rapporter om händelser och planer i dess verksamhet. Bolagen ska hålla kommunstyrelsen väl informerad om dess verksamheter. </w:t>
      </w:r>
    </w:p>
    <w:p w:rsidR="00613491" w:rsidRDefault="004B1D8A">
      <w:pPr>
        <w:spacing w:after="2" w:line="259" w:lineRule="auto"/>
        <w:ind w:left="228" w:firstLine="0"/>
      </w:pPr>
      <w:r>
        <w:rPr>
          <w:sz w:val="22"/>
        </w:rPr>
        <w:t xml:space="preserve"> </w:t>
      </w:r>
    </w:p>
    <w:p w:rsidR="00613491" w:rsidRDefault="004B1D8A">
      <w:pPr>
        <w:ind w:left="249" w:right="14"/>
      </w:pPr>
      <w:r>
        <w:t xml:space="preserve">Protokoll från bolagsstämmor och revisionsberättelser ska överlämnas till kommunstyrelsen. </w:t>
      </w:r>
    </w:p>
    <w:p w:rsidR="00613491" w:rsidRDefault="004B1D8A">
      <w:pPr>
        <w:spacing w:after="245"/>
        <w:ind w:left="249" w:right="14"/>
      </w:pPr>
      <w:r>
        <w:t xml:space="preserve">Innehåller protokoll som ska överlämnas till kommunstyrelsen, sådana uppgifter som bolagen på grund av reglerna om offentlighet och sekretess inte kan lämna ut, ska uppgifterna uteslutas. Av det översända materialet ska framgå att sådan åtgärd har vidtagits. </w:t>
      </w:r>
    </w:p>
    <w:p w:rsidR="00613491" w:rsidRPr="00DE027A" w:rsidRDefault="006920AA">
      <w:pPr>
        <w:pStyle w:val="Rubrik4"/>
        <w:ind w:left="233"/>
      </w:pPr>
      <w:r>
        <w:t>7</w:t>
      </w:r>
      <w:r w:rsidR="004B1D8A" w:rsidRPr="00DE027A">
        <w:t>.4</w:t>
      </w:r>
      <w:r w:rsidR="004B1D8A" w:rsidRPr="00D30E3C">
        <w:t xml:space="preserve"> </w:t>
      </w:r>
      <w:r w:rsidR="004B1D8A" w:rsidRPr="00DE027A">
        <w:t xml:space="preserve">Moderbolagets - Linköpings Stadshus AB - insyn och information </w:t>
      </w:r>
    </w:p>
    <w:p w:rsidR="00613491" w:rsidRPr="00D30E3C" w:rsidRDefault="004B1D8A" w:rsidP="00172D49">
      <w:pPr>
        <w:spacing w:after="0" w:line="259" w:lineRule="auto"/>
        <w:ind w:left="238" w:firstLine="0"/>
        <w:rPr>
          <w:rFonts w:ascii="Arial" w:eastAsia="Arial" w:hAnsi="Arial" w:cs="Arial"/>
          <w:b/>
        </w:rPr>
      </w:pPr>
      <w:r w:rsidRPr="00D30E3C">
        <w:rPr>
          <w:rFonts w:ascii="Arial" w:eastAsia="Arial" w:hAnsi="Arial" w:cs="Arial"/>
          <w:b/>
        </w:rPr>
        <w:t xml:space="preserve"> </w:t>
      </w:r>
    </w:p>
    <w:p w:rsidR="00613491" w:rsidRPr="005324CB" w:rsidRDefault="004973C5">
      <w:pPr>
        <w:spacing w:after="220"/>
        <w:ind w:left="249" w:right="14"/>
        <w:rPr>
          <w:color w:val="auto"/>
        </w:rPr>
      </w:pPr>
      <w:r>
        <w:t>Stadshus AB</w:t>
      </w:r>
      <w:r w:rsidR="004B1D8A">
        <w:t xml:space="preserve"> ska svara för en löpande ägardialog med respektive dotterbolag i koncernen. </w:t>
      </w:r>
      <w:r w:rsidR="00BE653B" w:rsidRPr="005324CB">
        <w:rPr>
          <w:color w:val="auto"/>
        </w:rPr>
        <w:t xml:space="preserve">Ägardialogerna ska ha sin utgångspunkt i bolagens uppdrag utifrån de </w:t>
      </w:r>
      <w:r w:rsidR="00C612CF" w:rsidRPr="005324CB">
        <w:rPr>
          <w:color w:val="auto"/>
        </w:rPr>
        <w:t xml:space="preserve">fastställda </w:t>
      </w:r>
      <w:r w:rsidR="00BE653B" w:rsidRPr="005324CB">
        <w:rPr>
          <w:color w:val="auto"/>
        </w:rPr>
        <w:t>ägardirektiven.</w:t>
      </w:r>
    </w:p>
    <w:p w:rsidR="00613491" w:rsidRDefault="004B1D8A">
      <w:pPr>
        <w:spacing w:after="236"/>
        <w:ind w:left="249" w:right="437"/>
      </w:pPr>
      <w:r>
        <w:t xml:space="preserve">Styrelsen i respektive kommunalt bolag ska därför hålla moderbolaget informerad om sin verksamhet och om planerade åtgärder av större vikt. </w:t>
      </w:r>
    </w:p>
    <w:p w:rsidR="00613491" w:rsidRDefault="004B1D8A">
      <w:pPr>
        <w:spacing w:after="220"/>
        <w:ind w:left="249" w:right="14"/>
      </w:pPr>
      <w:r>
        <w:t xml:space="preserve">Moderbolaget har rätt att få ta del av den information från bolagen som moderbolaget anser nödvändigt för att detta åliggande ska kunna fullgöras. </w:t>
      </w:r>
    </w:p>
    <w:p w:rsidR="00613491" w:rsidRDefault="00E85A52">
      <w:pPr>
        <w:pStyle w:val="Rubrik3"/>
        <w:ind w:left="252"/>
      </w:pPr>
      <w:r>
        <w:br/>
      </w:r>
      <w:r w:rsidR="006920AA">
        <w:t>8</w:t>
      </w:r>
      <w:r w:rsidR="004B1D8A">
        <w:t xml:space="preserve">. Moderbolagets ansvar för beredning av ärenden inom koncernen </w:t>
      </w:r>
    </w:p>
    <w:p w:rsidR="00613491" w:rsidRDefault="004B1D8A" w:rsidP="00172D49">
      <w:pPr>
        <w:spacing w:after="0" w:line="259" w:lineRule="auto"/>
        <w:ind w:left="254" w:firstLine="0"/>
      </w:pPr>
      <w:r>
        <w:rPr>
          <w:sz w:val="20"/>
        </w:rPr>
        <w:t xml:space="preserve"> </w:t>
      </w:r>
    </w:p>
    <w:p w:rsidR="00613491" w:rsidRPr="005324CB" w:rsidRDefault="004B1D8A">
      <w:pPr>
        <w:spacing w:after="227"/>
        <w:ind w:left="249" w:right="14"/>
        <w:rPr>
          <w:color w:val="auto"/>
        </w:rPr>
      </w:pPr>
      <w:r>
        <w:t xml:space="preserve">Linköpings Stadshus AB ska svara för beredning och samordning av strategiska frågor som ska till kommunfullmäktige såsom bolagskoncernens ekonomiska rapportering till kommunstyrelse och kommunfullmäktige avseende treårsplan, budget, investeringar, </w:t>
      </w:r>
      <w:r w:rsidR="004973C5" w:rsidRPr="005324CB">
        <w:rPr>
          <w:color w:val="auto"/>
        </w:rPr>
        <w:t xml:space="preserve">finansiering, </w:t>
      </w:r>
      <w:r w:rsidRPr="005324CB">
        <w:rPr>
          <w:color w:val="auto"/>
        </w:rPr>
        <w:t xml:space="preserve">delårsrapporter samt årsredovisning. </w:t>
      </w:r>
    </w:p>
    <w:p w:rsidR="00613491" w:rsidRDefault="004B1D8A">
      <w:pPr>
        <w:spacing w:after="225"/>
        <w:ind w:left="249" w:right="14"/>
      </w:pPr>
      <w:r w:rsidRPr="005324CB">
        <w:rPr>
          <w:color w:val="auto"/>
        </w:rPr>
        <w:t xml:space="preserve">Linköpings Stadshus AB ska </w:t>
      </w:r>
      <w:r w:rsidR="002D6773" w:rsidRPr="005324CB">
        <w:rPr>
          <w:color w:val="auto"/>
        </w:rPr>
        <w:t xml:space="preserve">inför beslut i kommunen </w:t>
      </w:r>
      <w:r w:rsidRPr="005324CB">
        <w:rPr>
          <w:color w:val="auto"/>
        </w:rPr>
        <w:t xml:space="preserve">bereda och samordna förslag till försäljning av fastigheter och bolag inom koncernen och andra frågor avseende bolagens tillgångsportföljer i enlighet med de ägardirektiv som anges för </w:t>
      </w:r>
      <w:r>
        <w:t xml:space="preserve">respektive bolag. </w:t>
      </w:r>
    </w:p>
    <w:p w:rsidR="00613491" w:rsidRDefault="004B1D8A">
      <w:pPr>
        <w:spacing w:after="491"/>
        <w:ind w:left="249" w:right="14"/>
      </w:pPr>
      <w:r>
        <w:t xml:space="preserve">Linköpings Stadshus AB ska medverka till att verksamheten mellan kommunens bolag organiseras med tydligt kundfokus och i en ändamålsenlig struktur samt utöva ägaransvaret för de kommunägda bolagen i syfte att </w:t>
      </w:r>
      <w:proofErr w:type="spellStart"/>
      <w:r>
        <w:t>bl</w:t>
      </w:r>
      <w:proofErr w:type="spellEnd"/>
      <w:r>
        <w:t xml:space="preserve"> a uppnå samordning, optimalt resursutnyttjande i de kommunägda bolagen i samverkan med kommunen. </w:t>
      </w:r>
    </w:p>
    <w:p w:rsidR="00613491" w:rsidRDefault="006920AA">
      <w:pPr>
        <w:pStyle w:val="Rubrik3"/>
        <w:ind w:left="252"/>
      </w:pPr>
      <w:r>
        <w:t>9</w:t>
      </w:r>
      <w:r w:rsidR="004B1D8A">
        <w:t xml:space="preserve">. Inhämtande av kommunens yttrande </w:t>
      </w:r>
    </w:p>
    <w:p w:rsidR="00613491" w:rsidRDefault="004B1D8A" w:rsidP="00172D49">
      <w:pPr>
        <w:spacing w:after="0" w:line="259" w:lineRule="auto"/>
        <w:ind w:left="266" w:firstLine="0"/>
      </w:pPr>
      <w:r>
        <w:rPr>
          <w:sz w:val="20"/>
        </w:rPr>
        <w:t xml:space="preserve"> </w:t>
      </w:r>
    </w:p>
    <w:p w:rsidR="0029076E" w:rsidRDefault="004B1D8A" w:rsidP="00D30E3C">
      <w:pPr>
        <w:jc w:val="both"/>
      </w:pPr>
      <w:r>
        <w:t xml:space="preserve">Bolagen ska bereda kommunfullmäktige tillfälle att ta ställning innan bolagen </w:t>
      </w:r>
      <w:r w:rsidR="00E20C47" w:rsidRPr="005324CB">
        <w:rPr>
          <w:color w:val="auto"/>
        </w:rPr>
        <w:t xml:space="preserve">verkställer </w:t>
      </w:r>
      <w:r>
        <w:t>sådana beslut i verksamheten som är av principiell beskaffenhet eller annars är av större vikt. Bland annat nedanstående ärenden är av större vikt: Denna punk</w:t>
      </w:r>
      <w:r w:rsidR="00CB550E">
        <w:t>t</w:t>
      </w:r>
      <w:r w:rsidR="0029076E">
        <w:t xml:space="preserve"> </w:t>
      </w:r>
      <w:r>
        <w:t xml:space="preserve">gäller om inte annat anges i respektive bolags särskilda ägardirektiv. </w:t>
      </w:r>
    </w:p>
    <w:p w:rsidR="00E85A52" w:rsidRDefault="00E85A52" w:rsidP="00D30E3C">
      <w:pPr>
        <w:jc w:val="both"/>
      </w:pPr>
    </w:p>
    <w:p w:rsidR="00E85A52" w:rsidRDefault="00E85A52" w:rsidP="00E85A52">
      <w:pPr>
        <w:pStyle w:val="Liststycke"/>
        <w:ind w:firstLine="0"/>
        <w:jc w:val="both"/>
      </w:pPr>
    </w:p>
    <w:p w:rsidR="00613491" w:rsidRDefault="00CB550E" w:rsidP="00D30E3C">
      <w:pPr>
        <w:pStyle w:val="Liststycke"/>
        <w:numPr>
          <w:ilvl w:val="0"/>
          <w:numId w:val="5"/>
        </w:numPr>
        <w:jc w:val="both"/>
      </w:pPr>
      <w:r>
        <w:lastRenderedPageBreak/>
        <w:t>Större strategisk</w:t>
      </w:r>
      <w:r w:rsidR="004B1D8A">
        <w:t xml:space="preserve">investeringar </w:t>
      </w:r>
    </w:p>
    <w:p w:rsidR="00613491" w:rsidRDefault="0029076E" w:rsidP="00D30E3C">
      <w:pPr>
        <w:pStyle w:val="Liststycke"/>
        <w:numPr>
          <w:ilvl w:val="0"/>
          <w:numId w:val="5"/>
        </w:numPr>
      </w:pPr>
      <w:r>
        <w:t>A</w:t>
      </w:r>
      <w:r w:rsidR="004B1D8A">
        <w:t>ndra investeringar eller åtgärder som inneb</w:t>
      </w:r>
      <w:r w:rsidR="00D30E3C">
        <w:t xml:space="preserve">är ny inriktning eller start av </w:t>
      </w:r>
      <w:r w:rsidR="004B1D8A">
        <w:t xml:space="preserve">verksamhet inom nytt affärs- eller verksamhetsområde för bolagen, </w:t>
      </w:r>
    </w:p>
    <w:p w:rsidR="00613491" w:rsidRDefault="004B1D8A" w:rsidP="00D30E3C">
      <w:pPr>
        <w:pStyle w:val="Liststycke"/>
        <w:numPr>
          <w:ilvl w:val="0"/>
          <w:numId w:val="5"/>
        </w:numPr>
      </w:pPr>
      <w:r>
        <w:t xml:space="preserve">Andra åtgärder som innebär ny inriktning för bolagen eller start av verksamhet inom nytt affärs- eller verksamhetsområde samt </w:t>
      </w:r>
      <w:r w:rsidR="0029076E">
        <w:t>s</w:t>
      </w:r>
      <w:r>
        <w:t xml:space="preserve">törre förvärv eller större försäljning av fast egendom. </w:t>
      </w:r>
    </w:p>
    <w:p w:rsidR="00D30E3C" w:rsidRDefault="00D30E3C" w:rsidP="00D30E3C">
      <w:pPr>
        <w:ind w:left="305" w:firstLine="0"/>
      </w:pPr>
    </w:p>
    <w:p w:rsidR="00613491" w:rsidRDefault="004B1D8A" w:rsidP="00D30E3C">
      <w:pPr>
        <w:ind w:left="360" w:right="14" w:firstLine="0"/>
      </w:pPr>
      <w:r>
        <w:t xml:space="preserve">Förslag i frågor som kräver kommunfullmäktiges yttrande ska beredas och samordnas av moderbolaget Linköpings Stadshus AB. </w:t>
      </w:r>
    </w:p>
    <w:p w:rsidR="005324CB" w:rsidRDefault="005324CB" w:rsidP="00D30E3C">
      <w:pPr>
        <w:ind w:left="360" w:right="14" w:firstLine="0"/>
      </w:pPr>
    </w:p>
    <w:p w:rsidR="00613491" w:rsidRDefault="004B1D8A" w:rsidP="00D30E3C">
      <w:pPr>
        <w:spacing w:after="0" w:line="259" w:lineRule="auto"/>
        <w:ind w:left="250" w:firstLine="0"/>
      </w:pPr>
      <w:r>
        <w:rPr>
          <w:sz w:val="20"/>
        </w:rPr>
        <w:t xml:space="preserve"> </w:t>
      </w:r>
    </w:p>
    <w:p w:rsidR="00613491" w:rsidRDefault="00DE027A">
      <w:pPr>
        <w:pStyle w:val="Rubrik3"/>
        <w:ind w:left="252"/>
      </w:pPr>
      <w:r>
        <w:t>1</w:t>
      </w:r>
      <w:r w:rsidR="006920AA">
        <w:t>0</w:t>
      </w:r>
      <w:r w:rsidR="004B1D8A">
        <w:t xml:space="preserve">. Inhämtande av kommunens godkännande </w:t>
      </w:r>
    </w:p>
    <w:p w:rsidR="00613491" w:rsidRDefault="004B1D8A" w:rsidP="00172D49">
      <w:pPr>
        <w:spacing w:after="0" w:line="259" w:lineRule="auto"/>
        <w:ind w:left="233" w:firstLine="0"/>
      </w:pPr>
      <w:r>
        <w:rPr>
          <w:sz w:val="20"/>
        </w:rPr>
        <w:t xml:space="preserve"> </w:t>
      </w:r>
    </w:p>
    <w:p w:rsidR="00613491" w:rsidRDefault="004B1D8A">
      <w:pPr>
        <w:spacing w:after="281"/>
        <w:ind w:left="249" w:right="14"/>
      </w:pPr>
      <w:r>
        <w:t xml:space="preserve">Bolagen ska inhämta kommunfullmäktiges godkännande innan någon av följande åtgärder </w:t>
      </w:r>
      <w:r w:rsidR="00B3322B" w:rsidRPr="005324CB">
        <w:rPr>
          <w:color w:val="auto"/>
        </w:rPr>
        <w:t>verkställs</w:t>
      </w:r>
      <w:r w:rsidR="00B3322B">
        <w:t xml:space="preserve"> </w:t>
      </w:r>
      <w:r>
        <w:t xml:space="preserve">om inte annat anges i respektive bolags särskilda ägardirektiv. </w:t>
      </w:r>
    </w:p>
    <w:p w:rsidR="00613491" w:rsidRDefault="004B1D8A" w:rsidP="00E30E87">
      <w:pPr>
        <w:pStyle w:val="Liststycke"/>
        <w:numPr>
          <w:ilvl w:val="0"/>
          <w:numId w:val="5"/>
        </w:numPr>
        <w:jc w:val="both"/>
      </w:pPr>
      <w:r>
        <w:t xml:space="preserve">Ändring av bolagsordning </w:t>
      </w:r>
    </w:p>
    <w:p w:rsidR="00613491" w:rsidRDefault="004B1D8A" w:rsidP="00E30E87">
      <w:pPr>
        <w:pStyle w:val="Liststycke"/>
        <w:numPr>
          <w:ilvl w:val="0"/>
          <w:numId w:val="5"/>
        </w:numPr>
        <w:jc w:val="both"/>
      </w:pPr>
      <w:r>
        <w:t xml:space="preserve">Ändring av aktiekapital </w:t>
      </w:r>
    </w:p>
    <w:p w:rsidR="00613491" w:rsidRDefault="004B1D8A" w:rsidP="00E30E87">
      <w:pPr>
        <w:pStyle w:val="Liststycke"/>
        <w:numPr>
          <w:ilvl w:val="0"/>
          <w:numId w:val="5"/>
        </w:numPr>
        <w:jc w:val="both"/>
      </w:pPr>
      <w:r>
        <w:t xml:space="preserve">Förvärv, avveckling eller bildande av dotterbolag </w:t>
      </w:r>
    </w:p>
    <w:p w:rsidR="00613491" w:rsidRDefault="004B1D8A" w:rsidP="00E30E87">
      <w:pPr>
        <w:pStyle w:val="Liststycke"/>
        <w:numPr>
          <w:ilvl w:val="0"/>
          <w:numId w:val="5"/>
        </w:numPr>
        <w:jc w:val="both"/>
      </w:pPr>
      <w:r>
        <w:t xml:space="preserve">Förvärv och försäljning av aktier eller andelar i annat företag samt deltagande i emission eller lämnande av ägartillskott e dyl. i företag som inte är helägt dotterbolag </w:t>
      </w:r>
    </w:p>
    <w:p w:rsidR="00613491" w:rsidRDefault="004B1D8A" w:rsidP="00E30E87">
      <w:pPr>
        <w:pStyle w:val="Liststycke"/>
        <w:numPr>
          <w:ilvl w:val="0"/>
          <w:numId w:val="5"/>
        </w:numPr>
        <w:jc w:val="both"/>
      </w:pPr>
      <w:r>
        <w:t xml:space="preserve">Bildande av stiftelse </w:t>
      </w:r>
    </w:p>
    <w:p w:rsidR="00613491" w:rsidRDefault="004B1D8A" w:rsidP="00E30E87">
      <w:pPr>
        <w:pStyle w:val="Liststycke"/>
        <w:numPr>
          <w:ilvl w:val="0"/>
          <w:numId w:val="5"/>
        </w:numPr>
        <w:jc w:val="both"/>
      </w:pPr>
      <w:r>
        <w:t xml:space="preserve">Fusion av företag </w:t>
      </w:r>
    </w:p>
    <w:p w:rsidR="00613491" w:rsidRDefault="004B1D8A">
      <w:pPr>
        <w:spacing w:after="0" w:line="259" w:lineRule="auto"/>
        <w:ind w:left="226" w:firstLine="0"/>
      </w:pPr>
      <w:r>
        <w:rPr>
          <w:sz w:val="22"/>
        </w:rPr>
        <w:t xml:space="preserve"> </w:t>
      </w:r>
    </w:p>
    <w:p w:rsidR="00613491" w:rsidRDefault="004B1D8A">
      <w:pPr>
        <w:ind w:left="249" w:right="14"/>
      </w:pPr>
      <w:r>
        <w:t xml:space="preserve">Förslag i frågor som kräver kommunfullmäktiges godkännande ska beredas och samordnas av moderbolaget Linköpings Stadshus AB. </w:t>
      </w:r>
    </w:p>
    <w:p w:rsidR="00613491" w:rsidRDefault="004B1D8A">
      <w:pPr>
        <w:spacing w:after="0" w:line="259" w:lineRule="auto"/>
        <w:ind w:left="245" w:firstLine="0"/>
      </w:pPr>
      <w:r>
        <w:rPr>
          <w:sz w:val="20"/>
        </w:rPr>
        <w:t xml:space="preserve"> </w:t>
      </w:r>
    </w:p>
    <w:p w:rsidR="00613491" w:rsidRDefault="00613491" w:rsidP="00BE653B">
      <w:pPr>
        <w:spacing w:after="0" w:line="259" w:lineRule="auto"/>
        <w:ind w:left="10" w:firstLine="0"/>
      </w:pPr>
    </w:p>
    <w:p w:rsidR="00613491" w:rsidRDefault="00DE027A">
      <w:pPr>
        <w:pStyle w:val="Rubrik3"/>
        <w:ind w:left="252"/>
      </w:pPr>
      <w:r>
        <w:t>1</w:t>
      </w:r>
      <w:r w:rsidR="006920AA">
        <w:t>1</w:t>
      </w:r>
      <w:r w:rsidR="004B1D8A">
        <w:t xml:space="preserve">. Underlag för kommunens koncernredovisning m </w:t>
      </w:r>
      <w:proofErr w:type="spellStart"/>
      <w:r w:rsidR="004B1D8A">
        <w:t>m</w:t>
      </w:r>
      <w:proofErr w:type="spellEnd"/>
      <w:r w:rsidR="004B1D8A">
        <w:t xml:space="preserve"> </w:t>
      </w:r>
    </w:p>
    <w:p w:rsidR="00613491" w:rsidRDefault="004B1D8A" w:rsidP="00172D49">
      <w:pPr>
        <w:spacing w:after="0" w:line="259" w:lineRule="auto"/>
        <w:ind w:left="226" w:firstLine="0"/>
      </w:pPr>
      <w:r>
        <w:rPr>
          <w:sz w:val="20"/>
        </w:rPr>
        <w:t xml:space="preserve"> </w:t>
      </w:r>
    </w:p>
    <w:p w:rsidR="00613491" w:rsidRDefault="004B1D8A">
      <w:pPr>
        <w:ind w:left="249" w:right="14"/>
      </w:pPr>
      <w:r>
        <w:t xml:space="preserve">Bolagen ska lämna flerårsplan, budget och periodbokslut till moderbolaget - Linköpings Stadshus AB - i enlighet med kommunfullmäktiges beslut och tidplan som fastställs av kommunstyrelsen. Kopia av dessa uppgifter ska lämnas till kommunstyrelsen för att utgöra underlag för kommunens lagstadgade redovisningsskyldighet. </w:t>
      </w:r>
    </w:p>
    <w:p w:rsidR="00613491" w:rsidRDefault="004B1D8A">
      <w:pPr>
        <w:spacing w:after="0" w:line="259" w:lineRule="auto"/>
        <w:ind w:left="226" w:firstLine="0"/>
      </w:pPr>
      <w:r>
        <w:rPr>
          <w:sz w:val="22"/>
        </w:rPr>
        <w:t xml:space="preserve"> </w:t>
      </w:r>
    </w:p>
    <w:p w:rsidR="00613491" w:rsidRDefault="004B1D8A">
      <w:pPr>
        <w:spacing w:after="534"/>
        <w:ind w:left="249" w:right="14"/>
      </w:pPr>
      <w:r>
        <w:t xml:space="preserve">Bolagen ska vid större avvikelser mot budget och långtidsplan samt andra planer informera moderbolaget - Linköpings Stadshus AB. </w:t>
      </w:r>
    </w:p>
    <w:p w:rsidR="00613491" w:rsidRDefault="00DE027A">
      <w:pPr>
        <w:pStyle w:val="Rubrik3"/>
        <w:ind w:left="252"/>
      </w:pPr>
      <w:r>
        <w:t>1</w:t>
      </w:r>
      <w:r w:rsidR="006920AA">
        <w:t>2</w:t>
      </w:r>
      <w:r w:rsidR="004B1D8A">
        <w:t xml:space="preserve">. Policy, planer och program </w:t>
      </w:r>
    </w:p>
    <w:p w:rsidR="00613491" w:rsidRDefault="004B1D8A" w:rsidP="00172D49">
      <w:pPr>
        <w:spacing w:after="0" w:line="259" w:lineRule="auto"/>
        <w:ind w:left="233" w:firstLine="0"/>
      </w:pPr>
      <w:r>
        <w:rPr>
          <w:sz w:val="20"/>
        </w:rPr>
        <w:t xml:space="preserve"> </w:t>
      </w:r>
    </w:p>
    <w:p w:rsidR="00613491" w:rsidRDefault="004B1D8A">
      <w:pPr>
        <w:ind w:left="249" w:right="14"/>
      </w:pPr>
      <w:r>
        <w:t>Kommunfullmäktige har fastställt f</w:t>
      </w:r>
      <w:r w:rsidR="00E20C47">
        <w:t>in</w:t>
      </w:r>
      <w:r>
        <w:t>anspolicy för kommunen och kommunens bolag. De gemensamma reglerna anger att samtliga bolag med upplåning ska fastställa egen f</w:t>
      </w:r>
      <w:r w:rsidR="00E20C47">
        <w:t>in</w:t>
      </w:r>
      <w:r>
        <w:t xml:space="preserve">anspolicy inom ramen för de gemensamma reglerna. </w:t>
      </w:r>
    </w:p>
    <w:p w:rsidR="00613491" w:rsidRDefault="004B1D8A">
      <w:pPr>
        <w:spacing w:after="0" w:line="259" w:lineRule="auto"/>
        <w:ind w:left="226" w:firstLine="0"/>
      </w:pPr>
      <w:r>
        <w:rPr>
          <w:sz w:val="22"/>
        </w:rPr>
        <w:t xml:space="preserve"> </w:t>
      </w:r>
    </w:p>
    <w:p w:rsidR="00613491" w:rsidRDefault="004B1D8A">
      <w:pPr>
        <w:spacing w:after="229"/>
        <w:ind w:left="249" w:right="14"/>
      </w:pPr>
      <w:r>
        <w:t xml:space="preserve">På motsvarande sätt har fullmäktige fastställt program inom ekonomi-, social hållbarhet-, säkerhet-, miljö- och personalområdet. Samtliga bolag ska utifrån dessa styrdokument ta fram egna program. </w:t>
      </w:r>
    </w:p>
    <w:p w:rsidR="00E30E87" w:rsidRDefault="00E30E87" w:rsidP="00C612CF">
      <w:pPr>
        <w:spacing w:after="514"/>
        <w:ind w:left="249" w:right="14"/>
      </w:pPr>
    </w:p>
    <w:p w:rsidR="00613491" w:rsidRPr="005324CB" w:rsidRDefault="004B1D8A" w:rsidP="00C612CF">
      <w:pPr>
        <w:spacing w:after="514"/>
        <w:ind w:left="249" w:right="14"/>
        <w:rPr>
          <w:color w:val="auto"/>
        </w:rPr>
      </w:pPr>
      <w:r>
        <w:lastRenderedPageBreak/>
        <w:t>Policy mot mutor och bestickning för anställda och förtroendevalda gäller i sin helhet samtliga helägda alternativt att bolagens fastställda policy är inom ramen för kommunens policy.</w:t>
      </w:r>
      <w:r w:rsidRPr="005324CB">
        <w:rPr>
          <w:color w:val="auto"/>
        </w:rPr>
        <w:t xml:space="preserve"> </w:t>
      </w:r>
      <w:r w:rsidR="00C612CF" w:rsidRPr="005324CB">
        <w:rPr>
          <w:color w:val="auto"/>
        </w:rPr>
        <w:t>Respektive bolag ska redovisa hur fullmäktiges program inom ekonomi-, social hållbarhet-, säkerhet-, miljö- och personalområdet hanterats inom bolaget i samband med att bolaget redovisar sin måluppfyllelse till kommunfullmäktige.</w:t>
      </w:r>
    </w:p>
    <w:p w:rsidR="006920AA" w:rsidRPr="005324CB" w:rsidRDefault="006920AA" w:rsidP="00D30E3C">
      <w:pPr>
        <w:pStyle w:val="Rubrik3"/>
        <w:ind w:left="0" w:firstLine="223"/>
        <w:rPr>
          <w:color w:val="auto"/>
        </w:rPr>
      </w:pPr>
      <w:r w:rsidRPr="005324CB">
        <w:rPr>
          <w:color w:val="auto"/>
        </w:rPr>
        <w:t xml:space="preserve">13. Nya långfristiga lån  </w:t>
      </w:r>
    </w:p>
    <w:p w:rsidR="006920AA" w:rsidRPr="005324CB" w:rsidRDefault="006920AA" w:rsidP="00172D49">
      <w:pPr>
        <w:spacing w:after="0" w:line="259" w:lineRule="auto"/>
        <w:ind w:left="0" w:firstLine="0"/>
        <w:rPr>
          <w:color w:val="auto"/>
        </w:rPr>
      </w:pPr>
      <w:r w:rsidRPr="005324CB">
        <w:rPr>
          <w:color w:val="auto"/>
          <w:sz w:val="22"/>
        </w:rPr>
        <w:t xml:space="preserve"> </w:t>
      </w:r>
    </w:p>
    <w:p w:rsidR="006920AA" w:rsidRDefault="006920AA" w:rsidP="00D30E3C">
      <w:pPr>
        <w:ind w:left="223" w:firstLine="0"/>
        <w:rPr>
          <w:b/>
          <w:color w:val="auto"/>
        </w:rPr>
      </w:pPr>
      <w:r w:rsidRPr="005324CB">
        <w:rPr>
          <w:color w:val="auto"/>
        </w:rPr>
        <w:t>Kommunfullmäktige fastställer årligen gemensam ram för nya långfristiga lån för kommunens bolag och en sammanlagd högsta nivå för bolagens långfristiga lån.  Detta beslut kommuniceras i särskild ordning.</w:t>
      </w:r>
      <w:r w:rsidRPr="005324CB">
        <w:rPr>
          <w:b/>
          <w:color w:val="auto"/>
        </w:rPr>
        <w:t xml:space="preserve"> </w:t>
      </w:r>
    </w:p>
    <w:p w:rsidR="005324CB" w:rsidRPr="005324CB" w:rsidRDefault="005324CB" w:rsidP="00D30E3C">
      <w:pPr>
        <w:ind w:left="223" w:firstLine="0"/>
        <w:rPr>
          <w:color w:val="auto"/>
        </w:rPr>
      </w:pPr>
    </w:p>
    <w:p w:rsidR="006920AA" w:rsidRPr="005324CB" w:rsidRDefault="006920AA" w:rsidP="006920AA">
      <w:pPr>
        <w:pStyle w:val="Rubrik3"/>
        <w:ind w:left="252"/>
        <w:rPr>
          <w:color w:val="auto"/>
        </w:rPr>
      </w:pPr>
    </w:p>
    <w:p w:rsidR="006920AA" w:rsidRPr="005324CB" w:rsidRDefault="006920AA" w:rsidP="00D30E3C">
      <w:pPr>
        <w:keepNext/>
        <w:keepLines/>
        <w:spacing w:after="0" w:line="259" w:lineRule="auto"/>
        <w:ind w:left="19" w:firstLine="204"/>
        <w:outlineLvl w:val="2"/>
        <w:rPr>
          <w:rFonts w:ascii="Arial" w:eastAsia="Arial" w:hAnsi="Arial" w:cs="Arial"/>
          <w:b/>
          <w:color w:val="auto"/>
        </w:rPr>
      </w:pPr>
      <w:r w:rsidRPr="005324CB">
        <w:rPr>
          <w:rFonts w:ascii="Arial" w:eastAsia="Arial" w:hAnsi="Arial" w:cs="Arial"/>
          <w:b/>
          <w:color w:val="auto"/>
        </w:rPr>
        <w:t xml:space="preserve">14. Kommunens långsiktiga krav och bolagets treårsplan </w:t>
      </w:r>
    </w:p>
    <w:p w:rsidR="006920AA" w:rsidRPr="005324CB" w:rsidRDefault="006920AA" w:rsidP="00172D49">
      <w:pPr>
        <w:spacing w:after="0" w:line="259" w:lineRule="auto"/>
        <w:ind w:left="5" w:firstLine="0"/>
        <w:rPr>
          <w:color w:val="auto"/>
        </w:rPr>
      </w:pPr>
      <w:r w:rsidRPr="005324CB">
        <w:rPr>
          <w:rFonts w:ascii="Arial" w:eastAsia="Arial" w:hAnsi="Arial" w:cs="Arial"/>
          <w:color w:val="auto"/>
          <w:sz w:val="20"/>
        </w:rPr>
        <w:t xml:space="preserve"> </w:t>
      </w:r>
    </w:p>
    <w:p w:rsidR="006920AA" w:rsidRDefault="006920AA" w:rsidP="00D30E3C">
      <w:pPr>
        <w:ind w:left="223" w:firstLine="0"/>
        <w:rPr>
          <w:color w:val="auto"/>
        </w:rPr>
      </w:pPr>
      <w:r w:rsidRPr="005324CB">
        <w:rPr>
          <w:color w:val="auto"/>
        </w:rPr>
        <w:t xml:space="preserve">Bolagen ska årligen redovisa förslag till treårsplan med redovisning hur bolaget avser att uppfylla kommunens mål. </w:t>
      </w:r>
    </w:p>
    <w:p w:rsidR="005324CB" w:rsidRPr="005324CB" w:rsidRDefault="005324CB" w:rsidP="00D30E3C">
      <w:pPr>
        <w:ind w:left="223" w:firstLine="0"/>
        <w:rPr>
          <w:color w:val="auto"/>
        </w:rPr>
      </w:pPr>
    </w:p>
    <w:p w:rsidR="006920AA" w:rsidRPr="00DE027A" w:rsidRDefault="006920AA" w:rsidP="006920AA">
      <w:pPr>
        <w:ind w:left="19"/>
      </w:pPr>
    </w:p>
    <w:p w:rsidR="00613491" w:rsidRDefault="00DE027A">
      <w:pPr>
        <w:pStyle w:val="Rubrik3"/>
        <w:ind w:left="252"/>
      </w:pPr>
      <w:r>
        <w:t>1</w:t>
      </w:r>
      <w:r w:rsidR="006920AA">
        <w:t>5</w:t>
      </w:r>
      <w:r w:rsidR="004B1D8A">
        <w:t xml:space="preserve">. Utdelning och koncernbidrag </w:t>
      </w:r>
    </w:p>
    <w:p w:rsidR="00613491" w:rsidRDefault="004B1D8A" w:rsidP="00172D49">
      <w:pPr>
        <w:spacing w:after="0" w:line="259" w:lineRule="auto"/>
        <w:ind w:left="235" w:firstLine="0"/>
      </w:pPr>
      <w:r>
        <w:rPr>
          <w:sz w:val="20"/>
        </w:rPr>
        <w:t xml:space="preserve"> </w:t>
      </w:r>
    </w:p>
    <w:p w:rsidR="00613491" w:rsidRDefault="004B1D8A">
      <w:pPr>
        <w:ind w:left="249" w:right="14"/>
      </w:pPr>
      <w:r>
        <w:t xml:space="preserve">Kommunen får inte något koncernbidrag från de rörelsedrivande bolagen. Dessa lämnar i stället sådant bidrag eller utdelning till Linköpings Stadshus AB. </w:t>
      </w:r>
    </w:p>
    <w:p w:rsidR="00613491" w:rsidRDefault="004B1D8A">
      <w:pPr>
        <w:spacing w:after="0" w:line="259" w:lineRule="auto"/>
        <w:ind w:left="228" w:firstLine="0"/>
      </w:pPr>
      <w:r>
        <w:rPr>
          <w:sz w:val="22"/>
        </w:rPr>
        <w:t xml:space="preserve"> </w:t>
      </w:r>
    </w:p>
    <w:p w:rsidR="00613491" w:rsidRDefault="004B1D8A">
      <w:pPr>
        <w:ind w:left="249" w:right="14"/>
      </w:pPr>
      <w:r>
        <w:t xml:space="preserve">Styrelsen för Linköpings Stadshus AB föreslår nivå på koncernbidrag eller utdelning från de rörelsedrivande bolagen och koncernerna inom Linköpings Stadshus AB samt beslutar om skattemässiga dispositioner mellan bolagen inom bolagskoncernen. </w:t>
      </w:r>
    </w:p>
    <w:p w:rsidR="005324CB" w:rsidRDefault="005324CB">
      <w:pPr>
        <w:ind w:left="249" w:right="14"/>
      </w:pPr>
    </w:p>
    <w:p w:rsidR="00E20C47" w:rsidRPr="00D30E3C" w:rsidRDefault="00E20C47">
      <w:pPr>
        <w:ind w:left="249" w:right="14"/>
        <w:rPr>
          <w:szCs w:val="24"/>
        </w:rPr>
      </w:pPr>
    </w:p>
    <w:p w:rsidR="00DE027A" w:rsidRPr="00D30E3C" w:rsidRDefault="00DE027A" w:rsidP="00CB550E">
      <w:pPr>
        <w:spacing w:after="0" w:line="259" w:lineRule="auto"/>
        <w:ind w:left="245" w:firstLine="0"/>
        <w:rPr>
          <w:rFonts w:ascii="Arial" w:eastAsia="Arial" w:hAnsi="Arial" w:cs="Arial"/>
          <w:b/>
          <w:szCs w:val="24"/>
        </w:rPr>
      </w:pPr>
      <w:r w:rsidRPr="00CB550E">
        <w:rPr>
          <w:rFonts w:ascii="Arial" w:eastAsia="Arial" w:hAnsi="Arial" w:cs="Arial"/>
          <w:b/>
          <w:szCs w:val="24"/>
        </w:rPr>
        <w:t>1</w:t>
      </w:r>
      <w:r w:rsidR="006920AA">
        <w:rPr>
          <w:rFonts w:ascii="Arial" w:eastAsia="Arial" w:hAnsi="Arial" w:cs="Arial"/>
          <w:b/>
          <w:szCs w:val="24"/>
        </w:rPr>
        <w:t>6</w:t>
      </w:r>
      <w:r w:rsidR="004B1D8A" w:rsidRPr="00D30E3C">
        <w:rPr>
          <w:rFonts w:ascii="Arial" w:eastAsia="Arial" w:hAnsi="Arial" w:cs="Arial"/>
          <w:b/>
          <w:szCs w:val="24"/>
        </w:rPr>
        <w:t>. Årsredovisningens innehåll</w:t>
      </w:r>
    </w:p>
    <w:p w:rsidR="00613491" w:rsidRDefault="004B1D8A" w:rsidP="00D30E3C">
      <w:pPr>
        <w:spacing w:after="0" w:line="259" w:lineRule="auto"/>
        <w:ind w:left="245" w:firstLine="0"/>
      </w:pPr>
      <w:r>
        <w:rPr>
          <w:rFonts w:ascii="Arial" w:eastAsia="Arial" w:hAnsi="Arial" w:cs="Arial"/>
          <w:b/>
          <w:sz w:val="22"/>
        </w:rPr>
        <w:t xml:space="preserve"> </w:t>
      </w:r>
      <w:r>
        <w:rPr>
          <w:sz w:val="20"/>
        </w:rPr>
        <w:t xml:space="preserve"> </w:t>
      </w:r>
    </w:p>
    <w:p w:rsidR="00613491" w:rsidRDefault="004B1D8A">
      <w:pPr>
        <w:ind w:left="249" w:right="14"/>
      </w:pPr>
      <w:r>
        <w:t xml:space="preserve">Bolagens styrelse och verkställande direktörer ska i eller i anslutning till respektive bolags årsredovisning, utöver vad som följer av aktiebolagslagen och god redovisningssed, redovisa hur de olika bolagen bedrivit verksamheten och hur den utvecklats i enlighet med det kommunala uppdraget och det kommunala syftet med respektive bolag och dess verksamhet. </w:t>
      </w:r>
    </w:p>
    <w:p w:rsidR="00613491" w:rsidRDefault="004B1D8A">
      <w:pPr>
        <w:spacing w:after="0" w:line="259" w:lineRule="auto"/>
        <w:ind w:left="233" w:firstLine="0"/>
      </w:pPr>
      <w:r>
        <w:rPr>
          <w:sz w:val="22"/>
        </w:rPr>
        <w:t xml:space="preserve"> </w:t>
      </w:r>
    </w:p>
    <w:p w:rsidR="00E30E87" w:rsidRDefault="004B1D8A" w:rsidP="00172D49">
      <w:pPr>
        <w:spacing w:after="514"/>
        <w:ind w:left="249" w:right="14"/>
        <w:rPr>
          <w:rFonts w:ascii="Arial" w:eastAsia="Arial" w:hAnsi="Arial" w:cs="Arial"/>
          <w:b/>
          <w:szCs w:val="24"/>
        </w:rPr>
      </w:pPr>
      <w:r>
        <w:t xml:space="preserve">Bolagen ska i årsredovisningen - utöver vad som krävs enligt aktiebolagslagen - redovisa utbetalda löner och ersättningar sam andra anställningsförmåner och pensionsförmåner så att omfattningen klart framgår för vardera av ordförande, vice ordförande och VD. </w:t>
      </w:r>
    </w:p>
    <w:p w:rsidR="00613491" w:rsidRDefault="00DE027A" w:rsidP="00E14E7C">
      <w:pPr>
        <w:spacing w:after="0" w:line="259" w:lineRule="auto"/>
        <w:ind w:left="245" w:firstLine="0"/>
        <w:rPr>
          <w:rFonts w:ascii="Arial" w:eastAsia="Arial" w:hAnsi="Arial" w:cs="Arial"/>
          <w:b/>
          <w:szCs w:val="24"/>
        </w:rPr>
      </w:pPr>
      <w:r w:rsidRPr="00E14E7C">
        <w:rPr>
          <w:rFonts w:ascii="Arial" w:eastAsia="Arial" w:hAnsi="Arial" w:cs="Arial"/>
          <w:b/>
          <w:szCs w:val="24"/>
        </w:rPr>
        <w:t>1</w:t>
      </w:r>
      <w:r w:rsidR="006920AA" w:rsidRPr="00E14E7C">
        <w:rPr>
          <w:rFonts w:ascii="Arial" w:eastAsia="Arial" w:hAnsi="Arial" w:cs="Arial"/>
          <w:b/>
          <w:szCs w:val="24"/>
        </w:rPr>
        <w:t>7</w:t>
      </w:r>
      <w:r w:rsidR="004B1D8A" w:rsidRPr="00E14E7C">
        <w:rPr>
          <w:rFonts w:ascii="Arial" w:eastAsia="Arial" w:hAnsi="Arial" w:cs="Arial"/>
          <w:b/>
          <w:szCs w:val="24"/>
        </w:rPr>
        <w:t xml:space="preserve">. Revision  </w:t>
      </w:r>
    </w:p>
    <w:p w:rsidR="00E14E7C" w:rsidRPr="00E14E7C" w:rsidRDefault="00E14E7C" w:rsidP="00E14E7C">
      <w:pPr>
        <w:spacing w:after="0" w:line="259" w:lineRule="auto"/>
        <w:ind w:left="245" w:firstLine="0"/>
        <w:rPr>
          <w:rFonts w:ascii="Arial" w:eastAsia="Arial" w:hAnsi="Arial" w:cs="Arial"/>
          <w:b/>
          <w:szCs w:val="24"/>
        </w:rPr>
      </w:pPr>
    </w:p>
    <w:p w:rsidR="00613491" w:rsidRDefault="004B1D8A">
      <w:pPr>
        <w:spacing w:after="52"/>
        <w:ind w:left="249" w:right="14"/>
      </w:pPr>
      <w:r>
        <w:t xml:space="preserve">Utöver vad aktiebolagslagen stadgar, ska bolagens revisorer, mot bakgrund av det kommunala syftet med bolagen och dess verksamhet, medverka i granskning enligt kommunallagen och pröva huruvida verksamheten bedrivits på ett ändamålsenligt och från ekonomisk synpunkt tillfredställande sätt. </w:t>
      </w:r>
    </w:p>
    <w:p w:rsidR="00613491" w:rsidRDefault="004B1D8A">
      <w:pPr>
        <w:spacing w:after="26" w:line="259" w:lineRule="auto"/>
        <w:ind w:left="233" w:firstLine="0"/>
      </w:pPr>
      <w:r>
        <w:t xml:space="preserve"> </w:t>
      </w:r>
    </w:p>
    <w:p w:rsidR="005324CB" w:rsidRDefault="005324CB">
      <w:pPr>
        <w:spacing w:after="26" w:line="259" w:lineRule="auto"/>
        <w:ind w:left="233" w:firstLine="0"/>
      </w:pPr>
    </w:p>
    <w:p w:rsidR="00613491" w:rsidRDefault="00DE027A">
      <w:pPr>
        <w:pStyle w:val="Rubrik4"/>
        <w:ind w:left="233"/>
      </w:pPr>
      <w:r>
        <w:lastRenderedPageBreak/>
        <w:t>1</w:t>
      </w:r>
      <w:r w:rsidR="006920AA">
        <w:t>7</w:t>
      </w:r>
      <w:r w:rsidR="004B1D8A">
        <w:t>.1</w:t>
      </w:r>
      <w:r w:rsidR="004B1D8A">
        <w:rPr>
          <w:b w:val="0"/>
        </w:rPr>
        <w:t xml:space="preserve"> </w:t>
      </w:r>
      <w:r w:rsidR="004B1D8A">
        <w:t xml:space="preserve">Förvaltnings- och verksamhetsrevision </w:t>
      </w:r>
    </w:p>
    <w:p w:rsidR="00613491" w:rsidRDefault="004B1D8A" w:rsidP="00172D49">
      <w:pPr>
        <w:spacing w:after="0" w:line="259" w:lineRule="auto"/>
        <w:ind w:left="271" w:firstLine="0"/>
      </w:pPr>
      <w:r>
        <w:rPr>
          <w:sz w:val="22"/>
        </w:rPr>
        <w:t xml:space="preserve"> </w:t>
      </w:r>
    </w:p>
    <w:p w:rsidR="00613491" w:rsidRDefault="004B1D8A">
      <w:pPr>
        <w:ind w:left="249" w:right="14"/>
      </w:pPr>
      <w:r>
        <w:t xml:space="preserve">Bolagets lekmannarevisorer har i uppdrag att i granskningsrapport redogöra för genomförd förvaltnings- och verksamhetsrevision och bedömning av utfallet av verksamheten i form av ändamålsuppfyllelse och måluppfyllelse, </w:t>
      </w:r>
    </w:p>
    <w:p w:rsidR="00613491" w:rsidRDefault="004B1D8A">
      <w:pPr>
        <w:spacing w:after="24" w:line="259" w:lineRule="auto"/>
        <w:ind w:left="262" w:firstLine="0"/>
      </w:pPr>
      <w:r>
        <w:rPr>
          <w:sz w:val="22"/>
        </w:rPr>
        <w:t xml:space="preserve"> </w:t>
      </w:r>
    </w:p>
    <w:p w:rsidR="00613491" w:rsidRDefault="004B1D8A">
      <w:pPr>
        <w:ind w:left="249" w:right="14"/>
      </w:pPr>
      <w:r>
        <w:t xml:space="preserve">Redogörelsen ska lämnas till bolagets styrelse och kommunfullmäktige, </w:t>
      </w:r>
    </w:p>
    <w:p w:rsidR="00613491" w:rsidRDefault="004B1D8A">
      <w:pPr>
        <w:spacing w:after="12" w:line="259" w:lineRule="auto"/>
        <w:ind w:left="257" w:firstLine="0"/>
      </w:pPr>
      <w:r>
        <w:rPr>
          <w:sz w:val="22"/>
        </w:rPr>
        <w:t xml:space="preserve"> </w:t>
      </w:r>
    </w:p>
    <w:p w:rsidR="00613491" w:rsidRDefault="004B1D8A">
      <w:pPr>
        <w:spacing w:after="248"/>
        <w:ind w:left="249" w:right="14"/>
      </w:pPr>
      <w:r>
        <w:t xml:space="preserve">Kommunens bolag ska årligen, efter fakturering från kommunen, betala för denna förvaltningsrevision i enlighet med revisionsplan som godkänts av kommunfullmäktiges presidium. </w:t>
      </w:r>
    </w:p>
    <w:p w:rsidR="00613491" w:rsidRDefault="00DE027A">
      <w:pPr>
        <w:pStyle w:val="Rubrik4"/>
        <w:ind w:left="233"/>
      </w:pPr>
      <w:r>
        <w:t>1</w:t>
      </w:r>
      <w:r w:rsidR="006920AA">
        <w:t>7</w:t>
      </w:r>
      <w:r w:rsidR="004B1D8A">
        <w:t>.2.</w:t>
      </w:r>
      <w:r w:rsidR="004B1D8A">
        <w:rPr>
          <w:rFonts w:ascii="Arial" w:eastAsia="Arial" w:hAnsi="Arial" w:cs="Arial"/>
        </w:rPr>
        <w:t xml:space="preserve"> </w:t>
      </w:r>
      <w:r w:rsidR="004B1D8A">
        <w:t xml:space="preserve">Uppföljning </w:t>
      </w:r>
    </w:p>
    <w:p w:rsidR="00613491" w:rsidRDefault="004B1D8A" w:rsidP="00172D49">
      <w:pPr>
        <w:spacing w:after="0" w:line="259" w:lineRule="auto"/>
        <w:ind w:left="250" w:firstLine="0"/>
      </w:pPr>
      <w:r>
        <w:rPr>
          <w:sz w:val="22"/>
        </w:rPr>
        <w:t xml:space="preserve"> </w:t>
      </w:r>
    </w:p>
    <w:p w:rsidR="00613491" w:rsidRDefault="004B1D8A">
      <w:pPr>
        <w:ind w:left="249" w:right="14"/>
      </w:pPr>
      <w:r>
        <w:t xml:space="preserve">Utöver uppgifterna i bolagens årsredovisning ska bolagens styrelse och verkställande direktören årligen lämna redovisning till fullmäktige och kommunens lekmannarevisorer om hur de anser att ändamålet med bolagets verksamhet förverkligats under året. </w:t>
      </w:r>
    </w:p>
    <w:p w:rsidR="00613491" w:rsidRDefault="004B1D8A">
      <w:pPr>
        <w:spacing w:after="26" w:line="259" w:lineRule="auto"/>
        <w:ind w:left="245" w:firstLine="0"/>
      </w:pPr>
      <w:r>
        <w:rPr>
          <w:sz w:val="22"/>
        </w:rPr>
        <w:t xml:space="preserve"> </w:t>
      </w:r>
    </w:p>
    <w:p w:rsidR="00613491" w:rsidRDefault="004B1D8A">
      <w:pPr>
        <w:ind w:left="249" w:right="14"/>
      </w:pPr>
      <w:r>
        <w:t xml:space="preserve">Denna redovisning utgör del av underlag för lekmannarevisorernas redovisning. </w:t>
      </w:r>
    </w:p>
    <w:p w:rsidR="00613491" w:rsidRDefault="004B1D8A">
      <w:pPr>
        <w:spacing w:after="12" w:line="259" w:lineRule="auto"/>
        <w:ind w:left="238" w:firstLine="0"/>
      </w:pPr>
      <w:r>
        <w:rPr>
          <w:sz w:val="22"/>
        </w:rPr>
        <w:t xml:space="preserve"> </w:t>
      </w:r>
    </w:p>
    <w:p w:rsidR="00613491" w:rsidRDefault="004B1D8A">
      <w:pPr>
        <w:ind w:left="249" w:right="14"/>
      </w:pPr>
      <w:r>
        <w:t xml:space="preserve">Därutöver ska styrelsen lämna en kortfattad redogörelse för hur bolaget har utövat intern kontroll. </w:t>
      </w:r>
    </w:p>
    <w:p w:rsidR="00613491" w:rsidRDefault="004B1D8A">
      <w:pPr>
        <w:spacing w:after="22" w:line="259" w:lineRule="auto"/>
        <w:ind w:left="257" w:firstLine="0"/>
        <w:rPr>
          <w:sz w:val="20"/>
        </w:rPr>
      </w:pPr>
      <w:r>
        <w:rPr>
          <w:sz w:val="20"/>
        </w:rPr>
        <w:t xml:space="preserve"> </w:t>
      </w:r>
    </w:p>
    <w:p w:rsidR="005324CB" w:rsidRDefault="005324CB">
      <w:pPr>
        <w:spacing w:after="22" w:line="259" w:lineRule="auto"/>
        <w:ind w:left="257" w:firstLine="0"/>
      </w:pPr>
    </w:p>
    <w:p w:rsidR="00613491" w:rsidRDefault="00DE027A">
      <w:pPr>
        <w:pStyle w:val="Rubrik3"/>
        <w:ind w:left="252"/>
      </w:pPr>
      <w:r>
        <w:t>1</w:t>
      </w:r>
      <w:r w:rsidR="006920AA">
        <w:t>8</w:t>
      </w:r>
      <w:r w:rsidR="004B1D8A">
        <w:t xml:space="preserve">. Konstnärlig gestaltning </w:t>
      </w:r>
    </w:p>
    <w:p w:rsidR="00613491" w:rsidRDefault="004B1D8A" w:rsidP="00172D49">
      <w:pPr>
        <w:spacing w:after="0" w:line="259" w:lineRule="auto"/>
        <w:ind w:left="228" w:firstLine="0"/>
      </w:pPr>
      <w:r>
        <w:rPr>
          <w:sz w:val="20"/>
        </w:rPr>
        <w:t xml:space="preserve"> </w:t>
      </w:r>
    </w:p>
    <w:p w:rsidR="00613491" w:rsidRDefault="004B1D8A">
      <w:pPr>
        <w:ind w:left="249" w:right="14"/>
      </w:pPr>
      <w:r>
        <w:t xml:space="preserve">Vid nybyggnad av byggnader för kommunal verksamhet ska bolagen i </w:t>
      </w:r>
    </w:p>
    <w:p w:rsidR="00613491" w:rsidRDefault="004B1D8A">
      <w:pPr>
        <w:ind w:left="249" w:right="14"/>
      </w:pPr>
      <w:r>
        <w:t xml:space="preserve">investeringskalkylen avsätta 1 % av byggnadskostnaden för konstnärlig gestaltning. Som nybyggnad räknas i detta sammanhang även tillbyggnader och sådana ombyggnader som föranleds av ändrad användning. </w:t>
      </w:r>
    </w:p>
    <w:p w:rsidR="00613491" w:rsidRDefault="004B1D8A">
      <w:pPr>
        <w:spacing w:after="12" w:line="259" w:lineRule="auto"/>
        <w:ind w:left="233" w:firstLine="0"/>
      </w:pPr>
      <w:r>
        <w:rPr>
          <w:sz w:val="22"/>
        </w:rPr>
        <w:t xml:space="preserve"> </w:t>
      </w:r>
    </w:p>
    <w:p w:rsidR="00613491" w:rsidRDefault="004B1D8A">
      <w:pPr>
        <w:ind w:left="249" w:right="14"/>
      </w:pPr>
      <w:r>
        <w:t xml:space="preserve">De avsatta medlen för konstnärlig utsmyckning av byggnader där kommunen är hyresgäst ska ställas till kultur- och fritidsnämndens förfogande. </w:t>
      </w:r>
    </w:p>
    <w:sectPr w:rsidR="00613491" w:rsidSect="00172D49">
      <w:headerReference w:type="first" r:id="rId7"/>
      <w:pgSz w:w="11909" w:h="16834"/>
      <w:pgMar w:top="1442" w:right="1659" w:bottom="777" w:left="1342"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52" w:rsidRDefault="00E85A52" w:rsidP="00E85A52">
      <w:pPr>
        <w:spacing w:after="0" w:line="240" w:lineRule="auto"/>
      </w:pPr>
      <w:r>
        <w:separator/>
      </w:r>
    </w:p>
  </w:endnote>
  <w:endnote w:type="continuationSeparator" w:id="0">
    <w:p w:rsidR="00E85A52" w:rsidRDefault="00E85A52" w:rsidP="00E8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52" w:rsidRDefault="00E85A52" w:rsidP="00E85A52">
      <w:pPr>
        <w:spacing w:after="0" w:line="240" w:lineRule="auto"/>
      </w:pPr>
      <w:r>
        <w:separator/>
      </w:r>
    </w:p>
  </w:footnote>
  <w:footnote w:type="continuationSeparator" w:id="0">
    <w:p w:rsidR="00E85A52" w:rsidRDefault="00E85A52" w:rsidP="00E85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E87" w:rsidRDefault="006401A6">
    <w:pPr>
      <w:pStyle w:val="Sidhuvud"/>
    </w:pPr>
    <w:r>
      <w:rPr>
        <w:noProof/>
      </w:rPr>
      <w:drawing>
        <wp:inline distT="0" distB="0" distL="0" distR="0" wp14:anchorId="53F79A20" wp14:editId="5CE09CC8">
          <wp:extent cx="1799590" cy="571500"/>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
                  <a:stretch>
                    <a:fillRect/>
                  </a:stretch>
                </pic:blipFill>
                <pic:spPr>
                  <a:xfrm>
                    <a:off x="0" y="0"/>
                    <a:ext cx="179959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168"/>
    <w:multiLevelType w:val="hybridMultilevel"/>
    <w:tmpl w:val="0C66F6E0"/>
    <w:lvl w:ilvl="0" w:tplc="041D000B">
      <w:start w:val="1"/>
      <w:numFmt w:val="bullet"/>
      <w:lvlText w:val=""/>
      <w:lvlJc w:val="left"/>
      <w:pPr>
        <w:ind w:left="1373" w:hanging="360"/>
      </w:pPr>
      <w:rPr>
        <w:rFonts w:ascii="Wingdings" w:hAnsi="Wingdings" w:hint="default"/>
      </w:rPr>
    </w:lvl>
    <w:lvl w:ilvl="1" w:tplc="041D0003" w:tentative="1">
      <w:start w:val="1"/>
      <w:numFmt w:val="bullet"/>
      <w:lvlText w:val="o"/>
      <w:lvlJc w:val="left"/>
      <w:pPr>
        <w:ind w:left="2093" w:hanging="360"/>
      </w:pPr>
      <w:rPr>
        <w:rFonts w:ascii="Courier New" w:hAnsi="Courier New" w:cs="Courier New" w:hint="default"/>
      </w:rPr>
    </w:lvl>
    <w:lvl w:ilvl="2" w:tplc="041D0005" w:tentative="1">
      <w:start w:val="1"/>
      <w:numFmt w:val="bullet"/>
      <w:lvlText w:val=""/>
      <w:lvlJc w:val="left"/>
      <w:pPr>
        <w:ind w:left="2813" w:hanging="360"/>
      </w:pPr>
      <w:rPr>
        <w:rFonts w:ascii="Wingdings" w:hAnsi="Wingdings" w:hint="default"/>
      </w:rPr>
    </w:lvl>
    <w:lvl w:ilvl="3" w:tplc="041D0001" w:tentative="1">
      <w:start w:val="1"/>
      <w:numFmt w:val="bullet"/>
      <w:lvlText w:val=""/>
      <w:lvlJc w:val="left"/>
      <w:pPr>
        <w:ind w:left="3533" w:hanging="360"/>
      </w:pPr>
      <w:rPr>
        <w:rFonts w:ascii="Symbol" w:hAnsi="Symbol" w:hint="default"/>
      </w:rPr>
    </w:lvl>
    <w:lvl w:ilvl="4" w:tplc="041D0003" w:tentative="1">
      <w:start w:val="1"/>
      <w:numFmt w:val="bullet"/>
      <w:lvlText w:val="o"/>
      <w:lvlJc w:val="left"/>
      <w:pPr>
        <w:ind w:left="4253" w:hanging="360"/>
      </w:pPr>
      <w:rPr>
        <w:rFonts w:ascii="Courier New" w:hAnsi="Courier New" w:cs="Courier New" w:hint="default"/>
      </w:rPr>
    </w:lvl>
    <w:lvl w:ilvl="5" w:tplc="041D0005" w:tentative="1">
      <w:start w:val="1"/>
      <w:numFmt w:val="bullet"/>
      <w:lvlText w:val=""/>
      <w:lvlJc w:val="left"/>
      <w:pPr>
        <w:ind w:left="4973" w:hanging="360"/>
      </w:pPr>
      <w:rPr>
        <w:rFonts w:ascii="Wingdings" w:hAnsi="Wingdings" w:hint="default"/>
      </w:rPr>
    </w:lvl>
    <w:lvl w:ilvl="6" w:tplc="041D0001" w:tentative="1">
      <w:start w:val="1"/>
      <w:numFmt w:val="bullet"/>
      <w:lvlText w:val=""/>
      <w:lvlJc w:val="left"/>
      <w:pPr>
        <w:ind w:left="5693" w:hanging="360"/>
      </w:pPr>
      <w:rPr>
        <w:rFonts w:ascii="Symbol" w:hAnsi="Symbol" w:hint="default"/>
      </w:rPr>
    </w:lvl>
    <w:lvl w:ilvl="7" w:tplc="041D0003" w:tentative="1">
      <w:start w:val="1"/>
      <w:numFmt w:val="bullet"/>
      <w:lvlText w:val="o"/>
      <w:lvlJc w:val="left"/>
      <w:pPr>
        <w:ind w:left="6413" w:hanging="360"/>
      </w:pPr>
      <w:rPr>
        <w:rFonts w:ascii="Courier New" w:hAnsi="Courier New" w:cs="Courier New" w:hint="default"/>
      </w:rPr>
    </w:lvl>
    <w:lvl w:ilvl="8" w:tplc="041D0005" w:tentative="1">
      <w:start w:val="1"/>
      <w:numFmt w:val="bullet"/>
      <w:lvlText w:val=""/>
      <w:lvlJc w:val="left"/>
      <w:pPr>
        <w:ind w:left="7133" w:hanging="360"/>
      </w:pPr>
      <w:rPr>
        <w:rFonts w:ascii="Wingdings" w:hAnsi="Wingdings" w:hint="default"/>
      </w:rPr>
    </w:lvl>
  </w:abstractNum>
  <w:abstractNum w:abstractNumId="1" w15:restartNumberingAfterBreak="0">
    <w:nsid w:val="1CF63BE6"/>
    <w:multiLevelType w:val="hybridMultilevel"/>
    <w:tmpl w:val="A87ADE1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F866089"/>
    <w:multiLevelType w:val="hybridMultilevel"/>
    <w:tmpl w:val="6ED8D958"/>
    <w:lvl w:ilvl="0" w:tplc="C80E4C00">
      <w:start w:val="1"/>
      <w:numFmt w:val="bullet"/>
      <w:lvlText w:val="•"/>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4E6550">
      <w:start w:val="1"/>
      <w:numFmt w:val="bullet"/>
      <w:lvlText w:val="o"/>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402D66">
      <w:start w:val="1"/>
      <w:numFmt w:val="bullet"/>
      <w:lvlText w:val="▪"/>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2D8EE">
      <w:start w:val="1"/>
      <w:numFmt w:val="bullet"/>
      <w:lvlText w:val="•"/>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EFB1E">
      <w:start w:val="1"/>
      <w:numFmt w:val="bullet"/>
      <w:lvlText w:val="o"/>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66614">
      <w:start w:val="1"/>
      <w:numFmt w:val="bullet"/>
      <w:lvlText w:val="▪"/>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88604">
      <w:start w:val="1"/>
      <w:numFmt w:val="bullet"/>
      <w:lvlText w:val="•"/>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9856D8">
      <w:start w:val="1"/>
      <w:numFmt w:val="bullet"/>
      <w:lvlText w:val="o"/>
      <w:lvlJc w:val="left"/>
      <w:pPr>
        <w:ind w:left="6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A3BAE">
      <w:start w:val="1"/>
      <w:numFmt w:val="bullet"/>
      <w:lvlText w:val="▪"/>
      <w:lvlJc w:val="left"/>
      <w:pPr>
        <w:ind w:left="7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B700491"/>
    <w:multiLevelType w:val="hybridMultilevel"/>
    <w:tmpl w:val="021EA45C"/>
    <w:lvl w:ilvl="0" w:tplc="3F202E8C">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4" w15:restartNumberingAfterBreak="0">
    <w:nsid w:val="3E9A4A66"/>
    <w:multiLevelType w:val="hybridMultilevel"/>
    <w:tmpl w:val="FD66E6C8"/>
    <w:lvl w:ilvl="0" w:tplc="40B844AC">
      <w:numFmt w:val="bullet"/>
      <w:lvlText w:val=""/>
      <w:lvlJc w:val="left"/>
      <w:pPr>
        <w:ind w:left="1013" w:hanging="360"/>
      </w:pPr>
      <w:rPr>
        <w:rFonts w:ascii="Wingdings" w:eastAsia="Times New Roman" w:hAnsi="Wingdings" w:cs="Times New Roman" w:hint="default"/>
      </w:rPr>
    </w:lvl>
    <w:lvl w:ilvl="1" w:tplc="041D0003" w:tentative="1">
      <w:start w:val="1"/>
      <w:numFmt w:val="bullet"/>
      <w:lvlText w:val="o"/>
      <w:lvlJc w:val="left"/>
      <w:pPr>
        <w:ind w:left="1733" w:hanging="360"/>
      </w:pPr>
      <w:rPr>
        <w:rFonts w:ascii="Courier New" w:hAnsi="Courier New" w:cs="Courier New" w:hint="default"/>
      </w:rPr>
    </w:lvl>
    <w:lvl w:ilvl="2" w:tplc="041D0005" w:tentative="1">
      <w:start w:val="1"/>
      <w:numFmt w:val="bullet"/>
      <w:lvlText w:val=""/>
      <w:lvlJc w:val="left"/>
      <w:pPr>
        <w:ind w:left="2453" w:hanging="360"/>
      </w:pPr>
      <w:rPr>
        <w:rFonts w:ascii="Wingdings" w:hAnsi="Wingdings" w:hint="default"/>
      </w:rPr>
    </w:lvl>
    <w:lvl w:ilvl="3" w:tplc="041D0001" w:tentative="1">
      <w:start w:val="1"/>
      <w:numFmt w:val="bullet"/>
      <w:lvlText w:val=""/>
      <w:lvlJc w:val="left"/>
      <w:pPr>
        <w:ind w:left="3173" w:hanging="360"/>
      </w:pPr>
      <w:rPr>
        <w:rFonts w:ascii="Symbol" w:hAnsi="Symbol" w:hint="default"/>
      </w:rPr>
    </w:lvl>
    <w:lvl w:ilvl="4" w:tplc="041D0003" w:tentative="1">
      <w:start w:val="1"/>
      <w:numFmt w:val="bullet"/>
      <w:lvlText w:val="o"/>
      <w:lvlJc w:val="left"/>
      <w:pPr>
        <w:ind w:left="3893" w:hanging="360"/>
      </w:pPr>
      <w:rPr>
        <w:rFonts w:ascii="Courier New" w:hAnsi="Courier New" w:cs="Courier New" w:hint="default"/>
      </w:rPr>
    </w:lvl>
    <w:lvl w:ilvl="5" w:tplc="041D0005" w:tentative="1">
      <w:start w:val="1"/>
      <w:numFmt w:val="bullet"/>
      <w:lvlText w:val=""/>
      <w:lvlJc w:val="left"/>
      <w:pPr>
        <w:ind w:left="4613" w:hanging="360"/>
      </w:pPr>
      <w:rPr>
        <w:rFonts w:ascii="Wingdings" w:hAnsi="Wingdings" w:hint="default"/>
      </w:rPr>
    </w:lvl>
    <w:lvl w:ilvl="6" w:tplc="041D0001" w:tentative="1">
      <w:start w:val="1"/>
      <w:numFmt w:val="bullet"/>
      <w:lvlText w:val=""/>
      <w:lvlJc w:val="left"/>
      <w:pPr>
        <w:ind w:left="5333" w:hanging="360"/>
      </w:pPr>
      <w:rPr>
        <w:rFonts w:ascii="Symbol" w:hAnsi="Symbol" w:hint="default"/>
      </w:rPr>
    </w:lvl>
    <w:lvl w:ilvl="7" w:tplc="041D0003" w:tentative="1">
      <w:start w:val="1"/>
      <w:numFmt w:val="bullet"/>
      <w:lvlText w:val="o"/>
      <w:lvlJc w:val="left"/>
      <w:pPr>
        <w:ind w:left="6053" w:hanging="360"/>
      </w:pPr>
      <w:rPr>
        <w:rFonts w:ascii="Courier New" w:hAnsi="Courier New" w:cs="Courier New" w:hint="default"/>
      </w:rPr>
    </w:lvl>
    <w:lvl w:ilvl="8" w:tplc="041D0005" w:tentative="1">
      <w:start w:val="1"/>
      <w:numFmt w:val="bullet"/>
      <w:lvlText w:val=""/>
      <w:lvlJc w:val="left"/>
      <w:pPr>
        <w:ind w:left="6773" w:hanging="360"/>
      </w:pPr>
      <w:rPr>
        <w:rFonts w:ascii="Wingdings" w:hAnsi="Wingdings" w:hint="default"/>
      </w:rPr>
    </w:lvl>
  </w:abstractNum>
  <w:abstractNum w:abstractNumId="5" w15:restartNumberingAfterBreak="0">
    <w:nsid w:val="4C5352E6"/>
    <w:multiLevelType w:val="hybridMultilevel"/>
    <w:tmpl w:val="093A45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D0F21A4"/>
    <w:multiLevelType w:val="hybridMultilevel"/>
    <w:tmpl w:val="A3F21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C080C00"/>
    <w:multiLevelType w:val="hybridMultilevel"/>
    <w:tmpl w:val="076C08B2"/>
    <w:lvl w:ilvl="0" w:tplc="F9DE3E5E">
      <w:start w:val="1"/>
      <w:numFmt w:val="bullet"/>
      <w:lvlText w:val="-"/>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8F78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016F0">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02E8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3E2F3A">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3487C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A449B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466BE8">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42621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E276708"/>
    <w:multiLevelType w:val="hybridMultilevel"/>
    <w:tmpl w:val="425E7A44"/>
    <w:lvl w:ilvl="0" w:tplc="3F202E8C">
      <w:start w:val="1"/>
      <w:numFmt w:val="bullet"/>
      <w:lvlText w:val="•"/>
      <w:lvlJc w:val="left"/>
      <w:pPr>
        <w:ind w:left="100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6"/>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91"/>
    <w:rsid w:val="00172D49"/>
    <w:rsid w:val="00276194"/>
    <w:rsid w:val="0029076E"/>
    <w:rsid w:val="002D6773"/>
    <w:rsid w:val="004060FC"/>
    <w:rsid w:val="004973C5"/>
    <w:rsid w:val="004B1D8A"/>
    <w:rsid w:val="005324CB"/>
    <w:rsid w:val="005A671A"/>
    <w:rsid w:val="00613491"/>
    <w:rsid w:val="006401A6"/>
    <w:rsid w:val="0064246F"/>
    <w:rsid w:val="006920AA"/>
    <w:rsid w:val="0070204C"/>
    <w:rsid w:val="008D7B5A"/>
    <w:rsid w:val="00AD30F5"/>
    <w:rsid w:val="00B3322B"/>
    <w:rsid w:val="00BE653B"/>
    <w:rsid w:val="00C362E4"/>
    <w:rsid w:val="00C612CF"/>
    <w:rsid w:val="00CB550E"/>
    <w:rsid w:val="00D30E3C"/>
    <w:rsid w:val="00DD25E8"/>
    <w:rsid w:val="00DE027A"/>
    <w:rsid w:val="00E14E7C"/>
    <w:rsid w:val="00E20C47"/>
    <w:rsid w:val="00E30E87"/>
    <w:rsid w:val="00E85A52"/>
    <w:rsid w:val="00E87692"/>
    <w:rsid w:val="00E902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06FDC26-4ACA-46E3-8792-D6F3C165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37" w:lineRule="auto"/>
      <w:ind w:left="315"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0"/>
      <w:ind w:left="242"/>
      <w:outlineLvl w:val="0"/>
    </w:pPr>
    <w:rPr>
      <w:rFonts w:ascii="Arial" w:eastAsia="Arial" w:hAnsi="Arial" w:cs="Arial"/>
      <w:b/>
      <w:color w:val="000000"/>
      <w:sz w:val="26"/>
    </w:rPr>
  </w:style>
  <w:style w:type="paragraph" w:styleId="Rubrik2">
    <w:name w:val="heading 2"/>
    <w:next w:val="Normal"/>
    <w:link w:val="Rubrik2Char"/>
    <w:uiPriority w:val="9"/>
    <w:unhideWhenUsed/>
    <w:qFormat/>
    <w:pPr>
      <w:keepNext/>
      <w:keepLines/>
      <w:spacing w:after="0"/>
      <w:ind w:left="663" w:hanging="10"/>
      <w:outlineLvl w:val="1"/>
    </w:pPr>
    <w:rPr>
      <w:rFonts w:ascii="Times New Roman" w:eastAsia="Times New Roman" w:hAnsi="Times New Roman" w:cs="Times New Roman"/>
      <w:i/>
      <w:color w:val="000000"/>
      <w:sz w:val="24"/>
    </w:rPr>
  </w:style>
  <w:style w:type="paragraph" w:styleId="Rubrik3">
    <w:name w:val="heading 3"/>
    <w:next w:val="Normal"/>
    <w:link w:val="Rubrik3Char"/>
    <w:uiPriority w:val="9"/>
    <w:unhideWhenUsed/>
    <w:qFormat/>
    <w:pPr>
      <w:keepNext/>
      <w:keepLines/>
      <w:spacing w:after="3" w:line="265" w:lineRule="auto"/>
      <w:ind w:left="312" w:hanging="10"/>
      <w:outlineLvl w:val="2"/>
    </w:pPr>
    <w:rPr>
      <w:rFonts w:ascii="Arial" w:eastAsia="Arial" w:hAnsi="Arial" w:cs="Arial"/>
      <w:b/>
      <w:color w:val="000000"/>
      <w:sz w:val="24"/>
    </w:rPr>
  </w:style>
  <w:style w:type="paragraph" w:styleId="Rubrik4">
    <w:name w:val="heading 4"/>
    <w:next w:val="Normal"/>
    <w:link w:val="Rubrik4Char"/>
    <w:uiPriority w:val="9"/>
    <w:unhideWhenUsed/>
    <w:qFormat/>
    <w:pPr>
      <w:keepNext/>
      <w:keepLines/>
      <w:spacing w:after="0"/>
      <w:ind w:left="243" w:hanging="10"/>
      <w:outlineLvl w:val="3"/>
    </w:pPr>
    <w:rPr>
      <w:rFonts w:ascii="Times New Roman" w:eastAsia="Times New Roman" w:hAnsi="Times New Roman" w:cs="Times New Roman"/>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26"/>
    </w:rPr>
  </w:style>
  <w:style w:type="character" w:customStyle="1" w:styleId="Rubrik3Char">
    <w:name w:val="Rubrik 3 Char"/>
    <w:link w:val="Rubrik3"/>
    <w:rPr>
      <w:rFonts w:ascii="Arial" w:eastAsia="Arial" w:hAnsi="Arial" w:cs="Arial"/>
      <w:b/>
      <w:color w:val="000000"/>
      <w:sz w:val="24"/>
    </w:rPr>
  </w:style>
  <w:style w:type="character" w:customStyle="1" w:styleId="Rubrik4Char">
    <w:name w:val="Rubrik 4 Char"/>
    <w:link w:val="Rubrik4"/>
    <w:rPr>
      <w:rFonts w:ascii="Times New Roman" w:eastAsia="Times New Roman" w:hAnsi="Times New Roman" w:cs="Times New Roman"/>
      <w:b/>
      <w:color w:val="000000"/>
      <w:sz w:val="24"/>
    </w:rPr>
  </w:style>
  <w:style w:type="character" w:customStyle="1" w:styleId="Rubrik2Char">
    <w:name w:val="Rubrik 2 Char"/>
    <w:link w:val="Rubrik2"/>
    <w:rPr>
      <w:rFonts w:ascii="Times New Roman" w:eastAsia="Times New Roman" w:hAnsi="Times New Roman" w:cs="Times New Roman"/>
      <w:i/>
      <w:color w:val="000000"/>
      <w:sz w:val="24"/>
    </w:rPr>
  </w:style>
  <w:style w:type="paragraph" w:styleId="Normalwebb">
    <w:name w:val="Normal (Web)"/>
    <w:basedOn w:val="Normal"/>
    <w:uiPriority w:val="99"/>
    <w:unhideWhenUsed/>
    <w:rsid w:val="002D6773"/>
    <w:pPr>
      <w:spacing w:before="100" w:beforeAutospacing="1" w:after="100" w:afterAutospacing="1" w:line="240" w:lineRule="auto"/>
      <w:ind w:left="0" w:firstLine="0"/>
    </w:pPr>
    <w:rPr>
      <w:color w:val="auto"/>
      <w:szCs w:val="24"/>
    </w:rPr>
  </w:style>
  <w:style w:type="paragraph" w:styleId="Liststycke">
    <w:name w:val="List Paragraph"/>
    <w:basedOn w:val="Normal"/>
    <w:uiPriority w:val="34"/>
    <w:qFormat/>
    <w:rsid w:val="0029076E"/>
    <w:pPr>
      <w:ind w:left="720"/>
      <w:contextualSpacing/>
    </w:pPr>
  </w:style>
  <w:style w:type="character" w:styleId="Betoning">
    <w:name w:val="Emphasis"/>
    <w:basedOn w:val="Standardstycketeckensnitt"/>
    <w:uiPriority w:val="20"/>
    <w:qFormat/>
    <w:rsid w:val="00D30E3C"/>
    <w:rPr>
      <w:i/>
      <w:iCs/>
    </w:rPr>
  </w:style>
  <w:style w:type="paragraph" w:styleId="Sidhuvud">
    <w:name w:val="header"/>
    <w:basedOn w:val="Normal"/>
    <w:link w:val="SidhuvudChar"/>
    <w:uiPriority w:val="99"/>
    <w:unhideWhenUsed/>
    <w:rsid w:val="00E85A5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5A52"/>
    <w:rPr>
      <w:rFonts w:ascii="Times New Roman" w:eastAsia="Times New Roman" w:hAnsi="Times New Roman" w:cs="Times New Roman"/>
      <w:color w:val="000000"/>
      <w:sz w:val="24"/>
    </w:rPr>
  </w:style>
  <w:style w:type="paragraph" w:styleId="Sidfot">
    <w:name w:val="footer"/>
    <w:basedOn w:val="Normal"/>
    <w:link w:val="SidfotChar"/>
    <w:uiPriority w:val="99"/>
    <w:unhideWhenUsed/>
    <w:rsid w:val="00E85A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5A5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16260">
      <w:bodyDiv w:val="1"/>
      <w:marLeft w:val="0"/>
      <w:marRight w:val="0"/>
      <w:marTop w:val="0"/>
      <w:marBottom w:val="0"/>
      <w:divBdr>
        <w:top w:val="none" w:sz="0" w:space="0" w:color="auto"/>
        <w:left w:val="none" w:sz="0" w:space="0" w:color="auto"/>
        <w:bottom w:val="none" w:sz="0" w:space="0" w:color="auto"/>
        <w:right w:val="none" w:sz="0" w:space="0" w:color="auto"/>
      </w:divBdr>
    </w:div>
    <w:div w:id="1050769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2582</Words>
  <Characters>13690</Characters>
  <Application>Microsoft Office Word</Application>
  <DocSecurity>4</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Linköpings Kommun</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wenbir</dc:creator>
  <cp:keywords/>
  <cp:lastModifiedBy>Strand Wåtz Eva-Karin</cp:lastModifiedBy>
  <cp:revision>2</cp:revision>
  <cp:lastPrinted>2015-02-27T15:35:00Z</cp:lastPrinted>
  <dcterms:created xsi:type="dcterms:W3CDTF">2016-08-24T11:25:00Z</dcterms:created>
  <dcterms:modified xsi:type="dcterms:W3CDTF">2016-08-24T11:25:00Z</dcterms:modified>
</cp:coreProperties>
</file>